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52" w:rsidRPr="00674FEE" w:rsidRDefault="00303852" w:rsidP="00303852">
      <w:pPr>
        <w:pStyle w:val="ConsPlusNormal"/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674FEE">
        <w:rPr>
          <w:b/>
          <w:color w:val="000000" w:themeColor="text1"/>
          <w:sz w:val="28"/>
          <w:szCs w:val="28"/>
        </w:rPr>
        <w:t>Информация о перечне индивидуальных достижений поступающих, учитываемых при приеме на обучение, и порядок учета указанных достижений</w:t>
      </w: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Баллы, начисленные за индивидуальные достижения, включаются в сумму конкурсных баллов.</w:t>
      </w: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 xml:space="preserve">Поступающий представляет документы, подтверждающие получение результатов индивидуальных достижений. </w:t>
      </w:r>
    </w:p>
    <w:p w:rsidR="00E750CF" w:rsidRDefault="0081223C" w:rsidP="00DC1234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При приеме на обучение по программам бакалавриата, программе специалитета Университет может начислять баллы за следующие индивидуальные достижения</w:t>
      </w:r>
      <w:r w:rsidR="00020558">
        <w:rPr>
          <w:color w:val="000000" w:themeColor="text1"/>
        </w:rPr>
        <w:t>:</w:t>
      </w:r>
    </w:p>
    <w:p w:rsidR="00DC1234" w:rsidRPr="00DC1234" w:rsidRDefault="00DC1234" w:rsidP="00DC1234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000000" w:themeColor="text1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7229"/>
        <w:gridCol w:w="1276"/>
      </w:tblGrid>
      <w:tr w:rsidR="00E750CF" w:rsidRPr="009152BF" w:rsidTr="006A7396">
        <w:trPr>
          <w:trHeight w:val="309"/>
        </w:trPr>
        <w:tc>
          <w:tcPr>
            <w:tcW w:w="959" w:type="dxa"/>
          </w:tcPr>
          <w:p w:rsidR="00E750CF" w:rsidRPr="009152BF" w:rsidRDefault="00E750CF" w:rsidP="006A7396">
            <w:pPr>
              <w:jc w:val="center"/>
              <w:rPr>
                <w:b/>
              </w:rPr>
            </w:pPr>
            <w:r w:rsidRPr="009152BF">
              <w:rPr>
                <w:b/>
              </w:rPr>
              <w:t>№ п/п</w:t>
            </w:r>
          </w:p>
        </w:tc>
        <w:tc>
          <w:tcPr>
            <w:tcW w:w="7229" w:type="dxa"/>
          </w:tcPr>
          <w:p w:rsidR="00E750CF" w:rsidRPr="00DC1234" w:rsidRDefault="00E750CF" w:rsidP="006A7396">
            <w:pPr>
              <w:jc w:val="center"/>
              <w:rPr>
                <w:b/>
              </w:rPr>
            </w:pPr>
            <w:r w:rsidRPr="00DC1234">
              <w:rPr>
                <w:b/>
              </w:rPr>
              <w:t>Наименование достижения</w:t>
            </w:r>
          </w:p>
        </w:tc>
        <w:tc>
          <w:tcPr>
            <w:tcW w:w="1276" w:type="dxa"/>
          </w:tcPr>
          <w:p w:rsidR="00E750CF" w:rsidRPr="00DC1234" w:rsidRDefault="00E750CF" w:rsidP="00DC1234">
            <w:pPr>
              <w:jc w:val="center"/>
              <w:rPr>
                <w:b/>
              </w:rPr>
            </w:pPr>
            <w:r w:rsidRPr="00DC1234">
              <w:rPr>
                <w:b/>
              </w:rPr>
              <w:t>Балл</w:t>
            </w:r>
          </w:p>
        </w:tc>
      </w:tr>
      <w:tr w:rsidR="00E750CF" w:rsidRPr="009152BF" w:rsidTr="006A7396">
        <w:trPr>
          <w:trHeight w:val="190"/>
        </w:trPr>
        <w:tc>
          <w:tcPr>
            <w:tcW w:w="959" w:type="dxa"/>
          </w:tcPr>
          <w:p w:rsidR="00E750CF" w:rsidRPr="009152BF" w:rsidRDefault="00E750CF" w:rsidP="006A7396">
            <w:pPr>
              <w:jc w:val="both"/>
            </w:pPr>
            <w:r w:rsidRPr="009152BF">
              <w:t>1.</w:t>
            </w:r>
          </w:p>
        </w:tc>
        <w:tc>
          <w:tcPr>
            <w:tcW w:w="7229" w:type="dxa"/>
          </w:tcPr>
          <w:p w:rsidR="00E750CF" w:rsidRPr="00DC1234" w:rsidRDefault="00C7551B" w:rsidP="006A7396">
            <w:pPr>
              <w:jc w:val="both"/>
            </w:pPr>
            <w:r w:rsidRPr="00DC1234">
              <w:t>Н</w:t>
            </w:r>
            <w:r w:rsidR="00E750CF" w:rsidRPr="00DC1234">
              <w:t>аличие аттестата о среднем общем образовании с отличием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</w:t>
            </w:r>
            <w:r w:rsidR="00020558" w:rsidRPr="00DC1234">
              <w:t>;</w:t>
            </w:r>
          </w:p>
        </w:tc>
        <w:tc>
          <w:tcPr>
            <w:tcW w:w="1276" w:type="dxa"/>
          </w:tcPr>
          <w:p w:rsidR="00E750CF" w:rsidRPr="00DC1234" w:rsidRDefault="00E750CF" w:rsidP="00DC1234">
            <w:pPr>
              <w:jc w:val="center"/>
            </w:pPr>
            <w:r w:rsidRPr="00DC1234">
              <w:t>5 баллов</w:t>
            </w:r>
          </w:p>
        </w:tc>
      </w:tr>
      <w:tr w:rsidR="00DC1234" w:rsidRPr="009152BF" w:rsidTr="0066157E">
        <w:trPr>
          <w:trHeight w:val="629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t>2.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jc w:val="both"/>
            </w:pPr>
            <w:r w:rsidRPr="00DC1234">
              <w:t>Наличие диплома о среднем профессиональном образовании с отличием;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5 баллов</w:t>
            </w:r>
          </w:p>
        </w:tc>
      </w:tr>
      <w:tr w:rsidR="00DC1234" w:rsidRPr="009152BF" w:rsidTr="006A7396">
        <w:trPr>
          <w:trHeight w:val="190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t>3.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jc w:val="both"/>
            </w:pPr>
            <w:r w:rsidRPr="00DC1234">
              <w:t>Наличие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5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rPr>
                <w:lang w:val="en-US"/>
              </w:rPr>
              <w:t>4</w:t>
            </w:r>
            <w:r w:rsidRPr="009152BF">
              <w:t>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279"/>
              </w:tabs>
              <w:autoSpaceDE w:val="0"/>
              <w:autoSpaceDN w:val="0"/>
              <w:ind w:right="122"/>
              <w:jc w:val="both"/>
            </w:pPr>
            <w:r w:rsidRPr="00DC1234">
              <w:t xml:space="preserve">Наличие статуса чемпиона, призера Олимпийских игр, </w:t>
            </w:r>
            <w:proofErr w:type="spellStart"/>
            <w:r w:rsidRPr="00DC1234">
              <w:t>Паралимпийских</w:t>
            </w:r>
            <w:proofErr w:type="spellEnd"/>
            <w:r w:rsidRPr="00DC1234">
              <w:t xml:space="preserve"> игр, </w:t>
            </w:r>
            <w:proofErr w:type="spellStart"/>
            <w:r w:rsidRPr="00DC1234">
              <w:t>Сурдлимпийских</w:t>
            </w:r>
            <w:proofErr w:type="spellEnd"/>
            <w:r w:rsidRPr="00DC1234">
      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      </w:r>
            <w:proofErr w:type="spellStart"/>
            <w:r w:rsidRPr="00DC1234">
              <w:t>Паралимпийских</w:t>
            </w:r>
            <w:proofErr w:type="spellEnd"/>
            <w:r w:rsidRPr="00DC1234">
              <w:t xml:space="preserve"> игр, </w:t>
            </w:r>
            <w:proofErr w:type="spellStart"/>
            <w:r w:rsidRPr="00DC1234">
              <w:t>Сурдлимпийских</w:t>
            </w:r>
            <w:proofErr w:type="spellEnd"/>
            <w:r w:rsidRPr="00DC1234">
              <w:t xml:space="preserve"> игр, Чемпиона России, обладателя кубка России по видам спорта включенным в программы Олимпийских игр, </w:t>
            </w:r>
            <w:proofErr w:type="spellStart"/>
            <w:r w:rsidRPr="00DC1234">
              <w:t>Паралимпийских</w:t>
            </w:r>
            <w:proofErr w:type="spellEnd"/>
            <w:r w:rsidRPr="00DC1234">
              <w:t xml:space="preserve"> игр, </w:t>
            </w:r>
            <w:proofErr w:type="spellStart"/>
            <w:r w:rsidRPr="00DC1234">
              <w:t>Сурдлимпийских</w:t>
            </w:r>
            <w:proofErr w:type="spellEnd"/>
            <w:r w:rsidRPr="00DC1234">
              <w:t xml:space="preserve"> игр;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10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Pr="0066157E" w:rsidRDefault="00DC1234" w:rsidP="00DC1234">
            <w:pPr>
              <w:jc w:val="both"/>
            </w:pPr>
            <w:r>
              <w:t>5.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DC1234">
              <w:rPr>
                <w:rFonts w:ascii="Times New Roman CYR" w:eastAsiaTheme="minorEastAsia" w:hAnsi="Times New Roman CYR" w:cs="Times New Roman CYR"/>
              </w:rPr>
              <w:t xml:space="preserve">Наличие статуса чемпиона мира, чемпиона Европы, победителя первенства мира, первенства Европы по видам спорта, </w:t>
            </w:r>
            <w:r w:rsidRPr="00DC1234">
              <w:t>не</w:t>
            </w:r>
            <w:r w:rsidRPr="00DC1234">
              <w:rPr>
                <w:spacing w:val="1"/>
              </w:rPr>
              <w:t xml:space="preserve"> </w:t>
            </w:r>
            <w:r w:rsidRPr="00DC1234">
              <w:t>включенным</w:t>
            </w:r>
            <w:r w:rsidRPr="00DC1234">
              <w:rPr>
                <w:spacing w:val="1"/>
              </w:rPr>
              <w:t xml:space="preserve"> </w:t>
            </w:r>
            <w:r w:rsidRPr="00DC1234">
              <w:t>в</w:t>
            </w:r>
            <w:r w:rsidRPr="00DC1234">
              <w:rPr>
                <w:spacing w:val="1"/>
              </w:rPr>
              <w:t xml:space="preserve"> </w:t>
            </w:r>
            <w:r w:rsidRPr="00DC1234">
              <w:t>программы</w:t>
            </w:r>
            <w:r w:rsidRPr="00DC1234">
              <w:rPr>
                <w:spacing w:val="1"/>
              </w:rPr>
              <w:t xml:space="preserve"> </w:t>
            </w:r>
            <w:r w:rsidRPr="00DC1234">
              <w:t>Олимпийских</w:t>
            </w:r>
            <w:r w:rsidRPr="00DC1234">
              <w:rPr>
                <w:spacing w:val="1"/>
              </w:rPr>
              <w:t xml:space="preserve"> </w:t>
            </w:r>
            <w:r w:rsidRPr="00DC1234">
              <w:t>игр,</w:t>
            </w:r>
            <w:r w:rsidRPr="00DC1234">
              <w:rPr>
                <w:spacing w:val="1"/>
              </w:rPr>
              <w:t xml:space="preserve"> </w:t>
            </w:r>
            <w:proofErr w:type="spellStart"/>
            <w:r w:rsidRPr="00DC1234">
              <w:t>Паралимпийских</w:t>
            </w:r>
            <w:proofErr w:type="spellEnd"/>
            <w:r w:rsidRPr="00DC1234">
              <w:rPr>
                <w:spacing w:val="-2"/>
              </w:rPr>
              <w:t xml:space="preserve"> </w:t>
            </w:r>
            <w:r w:rsidRPr="00DC1234">
              <w:t>игр,</w:t>
            </w:r>
            <w:r w:rsidRPr="00DC1234">
              <w:rPr>
                <w:spacing w:val="-1"/>
              </w:rPr>
              <w:t xml:space="preserve"> </w:t>
            </w:r>
            <w:proofErr w:type="spellStart"/>
            <w:r w:rsidRPr="00DC1234">
              <w:t>Сурдлимпийских</w:t>
            </w:r>
            <w:proofErr w:type="spellEnd"/>
            <w:r w:rsidRPr="00DC1234">
              <w:rPr>
                <w:spacing w:val="4"/>
              </w:rPr>
              <w:t xml:space="preserve"> </w:t>
            </w:r>
            <w:r w:rsidRPr="00DC1234">
              <w:t>игр</w:t>
            </w:r>
            <w:r w:rsidRPr="00DC1234">
              <w:rPr>
                <w:rFonts w:ascii="Times New Roman CYR" w:eastAsiaTheme="minorEastAsia" w:hAnsi="Times New Roman CYR" w:cs="Times New Roman CYR"/>
              </w:rPr>
              <w:t>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10 баллов</w:t>
            </w:r>
          </w:p>
        </w:tc>
      </w:tr>
      <w:tr w:rsidR="00DC1234" w:rsidRPr="009152BF" w:rsidTr="00DC1234">
        <w:trPr>
          <w:trHeight w:val="1412"/>
        </w:trPr>
        <w:tc>
          <w:tcPr>
            <w:tcW w:w="959" w:type="dxa"/>
          </w:tcPr>
          <w:p w:rsidR="00DC1234" w:rsidRPr="00C7551B" w:rsidRDefault="00DC1234" w:rsidP="00DC1234">
            <w:pPr>
              <w:jc w:val="both"/>
            </w:pPr>
            <w:r>
              <w:t xml:space="preserve">6. 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DC1234">
              <w:t>Победитель, призер официальных Международных спортивных соревнований, включенных в единый календарный план физкультурных и спортивных мероприятий РФ (раздел – спортивные мероприятия) федеральных органов исполнительной власти (</w:t>
            </w:r>
            <w:proofErr w:type="spellStart"/>
            <w:r w:rsidRPr="00DC1234">
              <w:t>Минспорт</w:t>
            </w:r>
            <w:proofErr w:type="spellEnd"/>
            <w:r w:rsidRPr="00DC1234">
              <w:t>)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10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7.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DC1234">
              <w:t xml:space="preserve">Победитель, призер официальных Всероссийских спортивных соревнований, включенных в единый календарный план физкультурных и спортивных мероприятий РФ (раздел – </w:t>
            </w:r>
            <w:r w:rsidRPr="00DC1234">
              <w:lastRenderedPageBreak/>
              <w:t>спортивные мероприятия) федеральных органов исполнительной власти (</w:t>
            </w:r>
            <w:proofErr w:type="spellStart"/>
            <w:r w:rsidRPr="00DC1234">
              <w:t>Минспорт</w:t>
            </w:r>
            <w:proofErr w:type="spellEnd"/>
            <w:r w:rsidRPr="00DC1234">
              <w:t>)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lastRenderedPageBreak/>
              <w:t>8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lastRenderedPageBreak/>
              <w:t>8.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DC1234">
              <w:t>Победитель, призер официальных межрегиональных спортивных соревнований, включенных в единый календарные план физкультурных и спортивных мероприятий РФ (раздел – спортивные мероприятия) федеральных органов исполнительной власти (</w:t>
            </w:r>
            <w:proofErr w:type="spellStart"/>
            <w:r w:rsidRPr="00DC1234">
              <w:t>Минспорт</w:t>
            </w:r>
            <w:proofErr w:type="spellEnd"/>
            <w:r w:rsidRPr="00DC1234">
              <w:t>)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6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9.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207"/>
              </w:tabs>
              <w:autoSpaceDE w:val="0"/>
              <w:autoSpaceDN w:val="0"/>
              <w:ind w:right="121"/>
              <w:jc w:val="both"/>
            </w:pPr>
            <w:r w:rsidRPr="00DC1234">
              <w:t>Победитель, призер официальных региональных спортивных соревнований, включенных в единые календарные планы физкультурных и спортивных мероприятий (раздел – спортивные мероприятия) органов исполнительной власти субъектов РФ в сфере физической культуры и спорта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4 балла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10.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jc w:val="both"/>
            </w:pPr>
            <w:r w:rsidRPr="00DC1234">
              <w:t>Наличие золотого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Федерации от 14 января 2016 г. N 16 , за выполнение нормативов Комплекса ГТО для возрастной группы населения Российской Федерации (ступени), установленной Положением о Всероссийском физкультурно-спортивном комплексе "Готов к труду и обороне» (ГТО), утвержденного постановление Правительства Российской Федерации от 11 июня 2014 г. №540, если поступающий в текущем году и (или) в предшествующем году относится (относился) к этой возрастной группе. Наличие знака ГТО подтверждается удостоверением к нему, или сведениями, размещенными на официальным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ГТО. Начисление баллов за наличие знака ГТО осуществляется однократно;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3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11.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widowControl w:val="0"/>
              <w:tabs>
                <w:tab w:val="left" w:pos="1100"/>
              </w:tabs>
              <w:autoSpaceDE w:val="0"/>
              <w:autoSpaceDN w:val="0"/>
              <w:spacing w:before="1"/>
              <w:ind w:right="112"/>
              <w:jc w:val="both"/>
            </w:pPr>
            <w:r w:rsidRPr="00DC1234">
              <w:t>Наличие серебряного или бронзового знака отличия Всероссийского физкультурно-спортивного комплекса "Готов к труду и обороне" (ГТО) (далее соответственно - знак ГТО, Комплекс ГТО), которым поступающий награжден в соответствии с Порядком награждения лиц, выполнивших нормативы испытаний (тестов) Всероссийского физкультурно-спортивного комплекса "Готов к труду и обороне" (ГТО), соответствующими знаками отличия Всероссийского физкультурно-спортивного комплекса "Готов к труду и обороне" (ГТО), утвержденным приказом Министерства спорта Российской Федерации от 14 января 2016 г. N 16 , за выполнение нормативов Комплекса ГТО для возрастной группы населения Российской Федерации (ступени), установленной Положением о Всероссийском физкультурно-</w:t>
            </w:r>
            <w:r w:rsidRPr="00DC1234">
              <w:lastRenderedPageBreak/>
              <w:t>спортивном комплексе "Готов к труду и обороне» (ГТО), утвержденного постановление Правительства Российской Федерации от 11 июня 2014 г. №540, если поступающий в текущем году и (или) в предшествующем году относится (относился) к этой возрастной группе. Наличие знака ГТО подтверждается удостоверением к нему, или сведениями, размещенными на официальным сайте Министерства спорта Российской Федерации или на официальном сайте Всероссийского физкультурно-спортивного комплекса "Готов к труду и обороне" (ГТО) в информационно-телекоммуникационной сети «Интернет», или заверенной должностным лицом копией приказа (выпиской из приказа) Министерства спорта Российской Федерации о награждении золотым знаком ГТО, копией приказа (выпиской из приказа) органа исполнительной власти субъекта Российской Федерации о награждении серебряным или бронзовым знаком ГТО. Начисление баллов за наличие знака ГТО осуществляется однократно;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lastRenderedPageBreak/>
              <w:t>2 балла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Pr="009152BF" w:rsidRDefault="00DC1234" w:rsidP="00DC1234">
            <w:pPr>
              <w:jc w:val="both"/>
            </w:pPr>
            <w:r>
              <w:lastRenderedPageBreak/>
              <w:t>12.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jc w:val="both"/>
              <w:rPr>
                <w:lang w:eastAsia="en-US"/>
              </w:rPr>
            </w:pPr>
            <w:r w:rsidRPr="00DC1234">
              <w:rPr>
                <w:rFonts w:ascii="Times New Roman CYR" w:eastAsiaTheme="minorEastAsia" w:hAnsi="Times New Roman CYR" w:cs="Times New Roman CYR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DC1234">
              <w:rPr>
                <w:rFonts w:ascii="Times New Roman CYR" w:eastAsiaTheme="minorEastAsia" w:hAnsi="Times New Roman CYR" w:cs="Times New Roman CYR"/>
              </w:rPr>
              <w:t>Абилимпикс</w:t>
            </w:r>
            <w:proofErr w:type="spellEnd"/>
            <w:r w:rsidRPr="00DC1234">
              <w:rPr>
                <w:rFonts w:ascii="Times New Roman CYR" w:eastAsiaTheme="minorEastAsia" w:hAnsi="Times New Roman CYR" w:cs="Times New Roman CYR"/>
              </w:rPr>
              <w:t>";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7 баллов</w:t>
            </w:r>
          </w:p>
        </w:tc>
      </w:tr>
      <w:tr w:rsidR="00DC1234" w:rsidRPr="009152BF" w:rsidTr="006A7396">
        <w:trPr>
          <w:trHeight w:val="378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13.</w:t>
            </w:r>
          </w:p>
        </w:tc>
        <w:tc>
          <w:tcPr>
            <w:tcW w:w="7229" w:type="dxa"/>
          </w:tcPr>
          <w:p w:rsidR="00DC1234" w:rsidRPr="00DC1234" w:rsidRDefault="00DC1234" w:rsidP="00DC1234">
            <w:pPr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DC1234">
              <w:t>Победители</w:t>
            </w:r>
            <w:r w:rsidRPr="00DC1234">
              <w:rPr>
                <w:spacing w:val="9"/>
              </w:rPr>
              <w:t xml:space="preserve"> </w:t>
            </w:r>
            <w:r w:rsidRPr="00DC1234">
              <w:t>и</w:t>
            </w:r>
            <w:r w:rsidRPr="00DC1234">
              <w:rPr>
                <w:spacing w:val="67"/>
              </w:rPr>
              <w:t xml:space="preserve"> </w:t>
            </w:r>
            <w:r w:rsidRPr="00DC1234">
              <w:t>призеры</w:t>
            </w:r>
            <w:r w:rsidRPr="00DC1234">
              <w:rPr>
                <w:spacing w:val="69"/>
              </w:rPr>
              <w:t xml:space="preserve"> </w:t>
            </w:r>
            <w:r w:rsidRPr="00DC1234">
              <w:t>регионального</w:t>
            </w:r>
            <w:r w:rsidRPr="00DC1234">
              <w:rPr>
                <w:spacing w:val="66"/>
              </w:rPr>
              <w:t xml:space="preserve"> </w:t>
            </w:r>
            <w:r w:rsidRPr="00DC1234">
              <w:t>этапа</w:t>
            </w:r>
            <w:r w:rsidRPr="00DC1234">
              <w:rPr>
                <w:spacing w:val="66"/>
              </w:rPr>
              <w:t xml:space="preserve"> </w:t>
            </w:r>
            <w:r w:rsidRPr="00DC1234">
              <w:t>всероссийской</w:t>
            </w:r>
            <w:r w:rsidRPr="00DC1234">
              <w:rPr>
                <w:spacing w:val="72"/>
              </w:rPr>
              <w:t xml:space="preserve"> </w:t>
            </w:r>
            <w:r w:rsidRPr="00DC1234">
              <w:t>олимпиады</w:t>
            </w:r>
            <w:r w:rsidRPr="00DC1234">
              <w:rPr>
                <w:spacing w:val="67"/>
              </w:rPr>
              <w:t xml:space="preserve"> </w:t>
            </w:r>
            <w:r w:rsidRPr="00DC1234">
              <w:t>школьников (по общеобразовательным предметам: математике, русскому языку, иностранному языку (английский, немецкий, французский), информатике, физике, химии, биологии, географии, литературе, истории, обществознанию);</w:t>
            </w:r>
          </w:p>
        </w:tc>
        <w:tc>
          <w:tcPr>
            <w:tcW w:w="1276" w:type="dxa"/>
          </w:tcPr>
          <w:p w:rsidR="00DC1234" w:rsidRPr="00DC1234" w:rsidRDefault="00DC1234" w:rsidP="00DC1234">
            <w:pPr>
              <w:jc w:val="center"/>
            </w:pPr>
            <w:r w:rsidRPr="00DC1234">
              <w:t>2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bookmarkStart w:id="0" w:name="_GoBack" w:colFirst="2" w:colLast="2"/>
            <w:r>
              <w:t>14.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 xml:space="preserve">Победители региональной </w:t>
            </w:r>
            <w:proofErr w:type="spellStart"/>
            <w:r w:rsidRPr="00A85D81">
              <w:t>профориентационной</w:t>
            </w:r>
            <w:proofErr w:type="spellEnd"/>
            <w:r w:rsidRPr="00A85D81">
              <w:t xml:space="preserve"> олимпиады "Проектная инициатива. Профессионал"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rPr>
                <w:lang w:val="en-US"/>
              </w:rPr>
              <w:t>10</w:t>
            </w:r>
            <w:r w:rsidRPr="00A85D81">
              <w:t xml:space="preserve">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15.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 xml:space="preserve">Призеры (2 место) региональной </w:t>
            </w:r>
            <w:proofErr w:type="spellStart"/>
            <w:r w:rsidRPr="00A85D81">
              <w:t>профориентационной</w:t>
            </w:r>
            <w:proofErr w:type="spellEnd"/>
            <w:r w:rsidRPr="00A85D81">
              <w:t xml:space="preserve"> олимпиады "Проектная инициатива. Профессионал"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7 баллов</w:t>
            </w:r>
          </w:p>
        </w:tc>
      </w:tr>
      <w:tr w:rsidR="00DC1234" w:rsidRPr="009152BF" w:rsidTr="00020558">
        <w:trPr>
          <w:trHeight w:val="537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16.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 xml:space="preserve">Призеры (3 место) региональной </w:t>
            </w:r>
            <w:proofErr w:type="spellStart"/>
            <w:r w:rsidRPr="00A85D81">
              <w:t>профориентационной</w:t>
            </w:r>
            <w:proofErr w:type="spellEnd"/>
            <w:r w:rsidRPr="00A85D81">
              <w:t xml:space="preserve"> олимпиады "Проектная инициатива. Профессионал"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5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17.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Победители региональной педагогической олимпиады " Педагогический олимп "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rPr>
                <w:lang w:val="en-US"/>
              </w:rPr>
              <w:t>10</w:t>
            </w:r>
            <w:r w:rsidRPr="00A85D81">
              <w:t xml:space="preserve">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18.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Призеры (2 место) региональной педагогической олимпиады "Педагогический олимп"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7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19.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Призеры (3 место) региональной педагогической олимпиады "Педагогический олимп"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5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20.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Победитель в мероприятии психолого-педагогического профиля, проводимом на уровне общеобразовательной организации или иной организации.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3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21.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Призер в мероприятии психолого-педагогического профиля, проводимом на уровне общеобразовательной организации или иной организации.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2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22.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Победитель в мероприятии психолого-педагогического профиля, проводимом на региональном уровне (на уровне муниципального образования или субъекта Российской Федерации).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5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23.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Призер в мероприятии психолого-педагогического профиля, проводимом на региональном уровне (на уровне муниципального образования или субъекта Российской Федерации).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4 балла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24.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Победитель в мероприятии психолого-педагогического профиля, проводимом на межрегиональном или всероссийском уровне.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10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lastRenderedPageBreak/>
              <w:t>25.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>Призер в мероприятии психолого-педагогического профиля, проводимом на межрегиональном или всероссийском уровне.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8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</w:p>
          <w:p w:rsidR="00DC1234" w:rsidRDefault="00DC1234" w:rsidP="00DC1234">
            <w:pPr>
              <w:jc w:val="both"/>
            </w:pPr>
            <w:r>
              <w:t>26.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 xml:space="preserve">Прохождение военной службы по призыву, а также военной службы по контракту, военной службы по мобилизации в Вооруженных Силах Российской Федерации, пребывание в добровольческих формированиях в соответствии с контрактом о добровольном содействии в выполнении задач, возложенных на Вооруженные Силы Российской Федерации, в ходе специальной военной операции (далее соответственно – прохождение военной службы, пребывание в добровольческих формированиях) 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6 баллов</w:t>
            </w:r>
          </w:p>
        </w:tc>
      </w:tr>
      <w:tr w:rsidR="00DC1234" w:rsidRPr="009152BF" w:rsidTr="006A7396">
        <w:trPr>
          <w:trHeight w:val="463"/>
        </w:trPr>
        <w:tc>
          <w:tcPr>
            <w:tcW w:w="959" w:type="dxa"/>
          </w:tcPr>
          <w:p w:rsidR="00DC1234" w:rsidRDefault="00DC1234" w:rsidP="00DC1234">
            <w:pPr>
              <w:jc w:val="both"/>
            </w:pPr>
            <w:r>
              <w:t>27.</w:t>
            </w:r>
          </w:p>
        </w:tc>
        <w:tc>
          <w:tcPr>
            <w:tcW w:w="7229" w:type="dxa"/>
          </w:tcPr>
          <w:p w:rsidR="00DC1234" w:rsidRPr="00A85D81" w:rsidRDefault="00DC1234" w:rsidP="00DC1234">
            <w:pPr>
              <w:pStyle w:val="a5"/>
              <w:spacing w:before="5"/>
              <w:ind w:left="0" w:firstLine="0"/>
              <w:jc w:val="left"/>
            </w:pPr>
            <w:r w:rsidRPr="00A85D81">
              <w:t xml:space="preserve">Наличие статуса лауреата, победителя, призера Международной детско-юношеской премии «Экология – дело каждого», полученного в 2024-2025 </w:t>
            </w:r>
            <w:proofErr w:type="spellStart"/>
            <w:r w:rsidRPr="00A85D81">
              <w:t>гг</w:t>
            </w:r>
            <w:proofErr w:type="spellEnd"/>
            <w:r w:rsidRPr="00A85D81">
              <w:t xml:space="preserve"> в индивидуальных номинациях в возрастной категории не менее 15 лет.</w:t>
            </w:r>
          </w:p>
        </w:tc>
        <w:tc>
          <w:tcPr>
            <w:tcW w:w="1276" w:type="dxa"/>
          </w:tcPr>
          <w:p w:rsidR="00DC1234" w:rsidRPr="00A85D81" w:rsidRDefault="00DC1234" w:rsidP="00DC1234">
            <w:pPr>
              <w:jc w:val="center"/>
            </w:pPr>
            <w:r w:rsidRPr="00A85D81">
              <w:t>5 баллов</w:t>
            </w:r>
          </w:p>
        </w:tc>
      </w:tr>
      <w:tr w:rsidR="004D196B" w:rsidRPr="009152BF" w:rsidTr="006A7396">
        <w:trPr>
          <w:trHeight w:val="463"/>
        </w:trPr>
        <w:tc>
          <w:tcPr>
            <w:tcW w:w="959" w:type="dxa"/>
          </w:tcPr>
          <w:p w:rsidR="004D196B" w:rsidRDefault="004D196B" w:rsidP="00DC1234">
            <w:pPr>
              <w:jc w:val="both"/>
            </w:pPr>
            <w:r>
              <w:t>28.</w:t>
            </w:r>
          </w:p>
        </w:tc>
        <w:tc>
          <w:tcPr>
            <w:tcW w:w="7229" w:type="dxa"/>
          </w:tcPr>
          <w:p w:rsidR="004D196B" w:rsidRPr="00A85D81" w:rsidRDefault="004D196B" w:rsidP="004D196B">
            <w:pPr>
              <w:pStyle w:val="a5"/>
              <w:spacing w:before="5"/>
              <w:ind w:left="0" w:firstLine="0"/>
              <w:jc w:val="left"/>
            </w:pPr>
            <w:r w:rsidRPr="00A85D81">
              <w:t>Наличие целевых индивидуальных достижений, в качестве которых рассматривается участие в проводимых заказчиком целевого обучения мероприятиях по профессиональной ориентации, которые учитываются при приеме на обучение на места в пределах целевой квоты в дополнение к баллам за общие индивидуальные достижения</w:t>
            </w:r>
            <w:r w:rsidR="00F952E5" w:rsidRPr="00A85D81">
              <w:t xml:space="preserve"> при наличии поступающего в списке участников </w:t>
            </w:r>
            <w:proofErr w:type="spellStart"/>
            <w:r w:rsidR="00F952E5" w:rsidRPr="00A85D81">
              <w:t>профориентационных</w:t>
            </w:r>
            <w:proofErr w:type="spellEnd"/>
            <w:r w:rsidR="00F952E5" w:rsidRPr="00A85D81">
              <w:t xml:space="preserve"> мероприятий, представленном заказчиком до дня начала приема заявлений о приеме </w:t>
            </w:r>
          </w:p>
        </w:tc>
        <w:tc>
          <w:tcPr>
            <w:tcW w:w="1276" w:type="dxa"/>
          </w:tcPr>
          <w:p w:rsidR="004D196B" w:rsidRPr="00A85D81" w:rsidRDefault="004D196B" w:rsidP="00DC1234">
            <w:pPr>
              <w:jc w:val="center"/>
            </w:pPr>
            <w:r w:rsidRPr="00A85D81">
              <w:t>5 баллов</w:t>
            </w:r>
          </w:p>
        </w:tc>
      </w:tr>
      <w:bookmarkEnd w:id="0"/>
    </w:tbl>
    <w:p w:rsidR="00C7551B" w:rsidRDefault="00C7551B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</w:p>
    <w:p w:rsidR="0081223C" w:rsidRPr="00674FEE" w:rsidRDefault="0081223C" w:rsidP="0081223C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При приеме на обучение по программам бакалавриата, программ</w:t>
      </w:r>
      <w:r w:rsidR="00553F5E">
        <w:rPr>
          <w:color w:val="000000" w:themeColor="text1"/>
        </w:rPr>
        <w:t>е</w:t>
      </w:r>
      <w:r w:rsidRPr="00674FEE">
        <w:rPr>
          <w:color w:val="000000" w:themeColor="text1"/>
        </w:rPr>
        <w:t xml:space="preserve"> специалитета поступающему может быть начислено за индивидуальные достижения не более 10 баллов суммарно.</w:t>
      </w:r>
    </w:p>
    <w:p w:rsidR="004E2FAE" w:rsidRDefault="0081223C" w:rsidP="004E2FAE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bookmarkStart w:id="1" w:name="P322"/>
      <w:bookmarkEnd w:id="1"/>
      <w:r w:rsidRPr="00674FEE">
        <w:rPr>
          <w:color w:val="000000" w:themeColor="text1"/>
        </w:rPr>
        <w:t>Индивидуальные достижения, учитываемые при приеме на обучение по программам бакалавриата, прогр</w:t>
      </w:r>
      <w:r w:rsidR="00553F5E">
        <w:rPr>
          <w:color w:val="000000" w:themeColor="text1"/>
        </w:rPr>
        <w:t xml:space="preserve">амме специалитета при равенстве </w:t>
      </w:r>
      <w:r w:rsidRPr="00674FEE">
        <w:rPr>
          <w:color w:val="000000" w:themeColor="text1"/>
        </w:rPr>
        <w:t>суммы конкурсных баллов</w:t>
      </w:r>
      <w:r w:rsidR="004E2FAE">
        <w:rPr>
          <w:color w:val="000000" w:themeColor="text1"/>
        </w:rPr>
        <w:t>:</w:t>
      </w:r>
    </w:p>
    <w:p w:rsidR="004E2FAE" w:rsidRDefault="00524E76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E2FAE" w:rsidRPr="004E2FAE">
        <w:rPr>
          <w:color w:val="000000" w:themeColor="text1"/>
        </w:rPr>
        <w:t>обедител</w:t>
      </w:r>
      <w:r>
        <w:rPr>
          <w:color w:val="000000" w:themeColor="text1"/>
        </w:rPr>
        <w:t>и и призеры</w:t>
      </w:r>
      <w:r w:rsidR="004E2FAE" w:rsidRPr="004E2FAE">
        <w:rPr>
          <w:color w:val="000000" w:themeColor="text1"/>
        </w:rPr>
        <w:t xml:space="preserve"> олимпиады Университета</w:t>
      </w:r>
      <w:r>
        <w:rPr>
          <w:color w:val="000000" w:themeColor="text1"/>
        </w:rPr>
        <w:t xml:space="preserve"> </w:t>
      </w:r>
      <w:r>
        <w:t>- «Палитра», «Золотая лира»</w:t>
      </w:r>
      <w:r w:rsidRPr="00DE2B95">
        <w:t>;</w:t>
      </w:r>
      <w:r>
        <w:t xml:space="preserve"> </w:t>
      </w:r>
      <w:r w:rsidR="004903B7">
        <w:t>э</w:t>
      </w:r>
      <w:r w:rsidRPr="00250F94">
        <w:t xml:space="preserve">кономического и </w:t>
      </w:r>
      <w:r w:rsidR="004903B7">
        <w:t>ю</w:t>
      </w:r>
      <w:r w:rsidRPr="00250F94">
        <w:t>ридического факультета</w:t>
      </w:r>
      <w:r w:rsidR="004E2FAE" w:rsidRPr="004E2FAE">
        <w:rPr>
          <w:color w:val="000000" w:themeColor="text1"/>
        </w:rPr>
        <w:t xml:space="preserve">; </w:t>
      </w:r>
    </w:p>
    <w:p w:rsidR="004E2FAE" w:rsidRDefault="00524E76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E2FAE" w:rsidRPr="004E2FAE">
        <w:rPr>
          <w:color w:val="000000" w:themeColor="text1"/>
        </w:rPr>
        <w:t>обедители и призеры Всероссийского конкур</w:t>
      </w:r>
      <w:r w:rsidR="004E2FAE">
        <w:rPr>
          <w:color w:val="000000" w:themeColor="text1"/>
        </w:rPr>
        <w:t>са экскурсий «Мир вокруг меня»;</w:t>
      </w:r>
    </w:p>
    <w:p w:rsidR="004E2FAE" w:rsidRDefault="00524E76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п</w:t>
      </w:r>
      <w:r w:rsidR="004E2FAE" w:rsidRPr="004E2FAE">
        <w:rPr>
          <w:color w:val="000000" w:themeColor="text1"/>
        </w:rPr>
        <w:t>обедители и призеры конкурса «Добейся успеха»;</w:t>
      </w:r>
    </w:p>
    <w:p w:rsidR="004E78C9" w:rsidRPr="004E2FAE" w:rsidRDefault="004E78C9" w:rsidP="004E2FAE">
      <w:pPr>
        <w:pStyle w:val="ConsPlusNormal"/>
        <w:numPr>
          <w:ilvl w:val="0"/>
          <w:numId w:val="1"/>
        </w:num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победители и призеры предметной олимпиады </w:t>
      </w:r>
      <w:proofErr w:type="spellStart"/>
      <w:r>
        <w:rPr>
          <w:color w:val="000000" w:themeColor="text1"/>
        </w:rPr>
        <w:t>Бокситогорского</w:t>
      </w:r>
      <w:proofErr w:type="spellEnd"/>
      <w:r>
        <w:rPr>
          <w:color w:val="000000" w:themeColor="text1"/>
        </w:rPr>
        <w:t xml:space="preserve"> института (филиала)</w:t>
      </w:r>
      <w:r w:rsidR="00596A50" w:rsidRPr="00596A50">
        <w:rPr>
          <w:szCs w:val="24"/>
          <w:shd w:val="clear" w:color="auto" w:fill="F9F9F9"/>
        </w:rPr>
        <w:t xml:space="preserve"> ГАОУ ВО ЛО «ЛГУ имени А.С. Пушкина»</w:t>
      </w:r>
      <w:r>
        <w:rPr>
          <w:color w:val="000000" w:themeColor="text1"/>
        </w:rPr>
        <w:t>.</w:t>
      </w:r>
    </w:p>
    <w:p w:rsidR="004E2FAE" w:rsidRPr="004E2FAE" w:rsidRDefault="004E2FAE" w:rsidP="004E2FAE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4E2FAE">
        <w:rPr>
          <w:color w:val="000000" w:themeColor="text1"/>
        </w:rPr>
        <w:t>В случае равенства поступающих по указанным достижениям перечень таких достижений может быть дополнен в период проведения приема.</w:t>
      </w:r>
    </w:p>
    <w:p w:rsidR="004F540F" w:rsidRPr="00674FEE" w:rsidRDefault="0081223C" w:rsidP="00A96933">
      <w:pPr>
        <w:pStyle w:val="ConsPlusNormal"/>
        <w:spacing w:line="360" w:lineRule="auto"/>
        <w:ind w:firstLine="539"/>
        <w:jc w:val="both"/>
        <w:rPr>
          <w:color w:val="000000" w:themeColor="text1"/>
        </w:rPr>
      </w:pPr>
      <w:r w:rsidRPr="00674FEE">
        <w:rPr>
          <w:color w:val="000000" w:themeColor="text1"/>
        </w:rPr>
        <w:t>Перечень учитываемых индивидуальных достижений и порядок их учета устанавливаются Университетом и указываются в правилах приема.</w:t>
      </w:r>
    </w:p>
    <w:sectPr w:rsidR="004F540F" w:rsidRPr="00674FEE" w:rsidSect="008122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67C"/>
    <w:multiLevelType w:val="hybridMultilevel"/>
    <w:tmpl w:val="95624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15EB4"/>
    <w:multiLevelType w:val="hybridMultilevel"/>
    <w:tmpl w:val="DE0026E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64A307E2"/>
    <w:multiLevelType w:val="hybridMultilevel"/>
    <w:tmpl w:val="31B69D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6C902810"/>
    <w:multiLevelType w:val="hybridMultilevel"/>
    <w:tmpl w:val="302C5F9C"/>
    <w:lvl w:ilvl="0" w:tplc="5F326B72">
      <w:start w:val="1"/>
      <w:numFmt w:val="decimal"/>
      <w:lvlText w:val="%1)"/>
      <w:lvlJc w:val="left"/>
      <w:pPr>
        <w:ind w:left="119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FE64EC">
      <w:numFmt w:val="bullet"/>
      <w:lvlText w:val="•"/>
      <w:lvlJc w:val="left"/>
      <w:pPr>
        <w:ind w:left="1161" w:hanging="439"/>
      </w:pPr>
      <w:rPr>
        <w:rFonts w:hint="default"/>
        <w:lang w:val="ru-RU" w:eastAsia="en-US" w:bidi="ar-SA"/>
      </w:rPr>
    </w:lvl>
    <w:lvl w:ilvl="2" w:tplc="3174AFEA">
      <w:numFmt w:val="bullet"/>
      <w:lvlText w:val="•"/>
      <w:lvlJc w:val="left"/>
      <w:pPr>
        <w:ind w:left="2203" w:hanging="439"/>
      </w:pPr>
      <w:rPr>
        <w:rFonts w:hint="default"/>
        <w:lang w:val="ru-RU" w:eastAsia="en-US" w:bidi="ar-SA"/>
      </w:rPr>
    </w:lvl>
    <w:lvl w:ilvl="3" w:tplc="43EAB4B2">
      <w:numFmt w:val="bullet"/>
      <w:lvlText w:val="•"/>
      <w:lvlJc w:val="left"/>
      <w:pPr>
        <w:ind w:left="3245" w:hanging="439"/>
      </w:pPr>
      <w:rPr>
        <w:rFonts w:hint="default"/>
        <w:lang w:val="ru-RU" w:eastAsia="en-US" w:bidi="ar-SA"/>
      </w:rPr>
    </w:lvl>
    <w:lvl w:ilvl="4" w:tplc="A2D44D20">
      <w:numFmt w:val="bullet"/>
      <w:lvlText w:val="•"/>
      <w:lvlJc w:val="left"/>
      <w:pPr>
        <w:ind w:left="4287" w:hanging="439"/>
      </w:pPr>
      <w:rPr>
        <w:rFonts w:hint="default"/>
        <w:lang w:val="ru-RU" w:eastAsia="en-US" w:bidi="ar-SA"/>
      </w:rPr>
    </w:lvl>
    <w:lvl w:ilvl="5" w:tplc="36E68E68">
      <w:numFmt w:val="bullet"/>
      <w:lvlText w:val="•"/>
      <w:lvlJc w:val="left"/>
      <w:pPr>
        <w:ind w:left="5329" w:hanging="439"/>
      </w:pPr>
      <w:rPr>
        <w:rFonts w:hint="default"/>
        <w:lang w:val="ru-RU" w:eastAsia="en-US" w:bidi="ar-SA"/>
      </w:rPr>
    </w:lvl>
    <w:lvl w:ilvl="6" w:tplc="C16A7D52">
      <w:numFmt w:val="bullet"/>
      <w:lvlText w:val="•"/>
      <w:lvlJc w:val="left"/>
      <w:pPr>
        <w:ind w:left="6371" w:hanging="439"/>
      </w:pPr>
      <w:rPr>
        <w:rFonts w:hint="default"/>
        <w:lang w:val="ru-RU" w:eastAsia="en-US" w:bidi="ar-SA"/>
      </w:rPr>
    </w:lvl>
    <w:lvl w:ilvl="7" w:tplc="37D2FA08">
      <w:numFmt w:val="bullet"/>
      <w:lvlText w:val="•"/>
      <w:lvlJc w:val="left"/>
      <w:pPr>
        <w:ind w:left="7413" w:hanging="439"/>
      </w:pPr>
      <w:rPr>
        <w:rFonts w:hint="default"/>
        <w:lang w:val="ru-RU" w:eastAsia="en-US" w:bidi="ar-SA"/>
      </w:rPr>
    </w:lvl>
    <w:lvl w:ilvl="8" w:tplc="A01E4746">
      <w:numFmt w:val="bullet"/>
      <w:lvlText w:val="•"/>
      <w:lvlJc w:val="left"/>
      <w:pPr>
        <w:ind w:left="8455" w:hanging="43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3C"/>
    <w:rsid w:val="00020558"/>
    <w:rsid w:val="00097948"/>
    <w:rsid w:val="000B77B7"/>
    <w:rsid w:val="002F1C8A"/>
    <w:rsid w:val="00303852"/>
    <w:rsid w:val="003C71AD"/>
    <w:rsid w:val="0043026E"/>
    <w:rsid w:val="004903B7"/>
    <w:rsid w:val="004B13BD"/>
    <w:rsid w:val="004C34D8"/>
    <w:rsid w:val="004D196B"/>
    <w:rsid w:val="004E2FAE"/>
    <w:rsid w:val="004E5B6F"/>
    <w:rsid w:val="004E78C9"/>
    <w:rsid w:val="004F540F"/>
    <w:rsid w:val="00524E76"/>
    <w:rsid w:val="00553F5E"/>
    <w:rsid w:val="00584DF5"/>
    <w:rsid w:val="00596A50"/>
    <w:rsid w:val="005F484E"/>
    <w:rsid w:val="0066157E"/>
    <w:rsid w:val="00674FEE"/>
    <w:rsid w:val="00721650"/>
    <w:rsid w:val="0081223C"/>
    <w:rsid w:val="00867D6B"/>
    <w:rsid w:val="00A246BD"/>
    <w:rsid w:val="00A65C19"/>
    <w:rsid w:val="00A85D81"/>
    <w:rsid w:val="00A96933"/>
    <w:rsid w:val="00AC4B86"/>
    <w:rsid w:val="00C02B4D"/>
    <w:rsid w:val="00C7551B"/>
    <w:rsid w:val="00D21DC1"/>
    <w:rsid w:val="00DC1234"/>
    <w:rsid w:val="00E354E3"/>
    <w:rsid w:val="00E750CF"/>
    <w:rsid w:val="00EE5795"/>
    <w:rsid w:val="00F71BE2"/>
    <w:rsid w:val="00F866A3"/>
    <w:rsid w:val="00F952E5"/>
    <w:rsid w:val="00F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72029-D52B-4143-8AE5-732143D72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2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1"/>
    <w:qFormat/>
    <w:rsid w:val="004E2FAE"/>
    <w:pPr>
      <w:ind w:left="720"/>
      <w:contextualSpacing/>
    </w:pPr>
  </w:style>
  <w:style w:type="table" w:styleId="a4">
    <w:name w:val="Table Grid"/>
    <w:basedOn w:val="a1"/>
    <w:uiPriority w:val="59"/>
    <w:rsid w:val="004E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A246BD"/>
    <w:pPr>
      <w:widowControl w:val="0"/>
      <w:autoSpaceDE w:val="0"/>
      <w:autoSpaceDN w:val="0"/>
      <w:ind w:left="119" w:firstLine="720"/>
      <w:jc w:val="both"/>
    </w:pPr>
    <w:rPr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A246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 Александровна Цыбульская</dc:creator>
  <cp:lastModifiedBy>Юлия Валентиновна Зубарева</cp:lastModifiedBy>
  <cp:revision>25</cp:revision>
  <dcterms:created xsi:type="dcterms:W3CDTF">2020-10-31T09:50:00Z</dcterms:created>
  <dcterms:modified xsi:type="dcterms:W3CDTF">2025-01-17T11:29:00Z</dcterms:modified>
</cp:coreProperties>
</file>