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54A95" w14:textId="77777777" w:rsidR="003E5A42" w:rsidRPr="003E5A42" w:rsidRDefault="003E5A42" w:rsidP="003E5A42">
      <w:pPr>
        <w:spacing w:line="360" w:lineRule="auto"/>
        <w:jc w:val="center"/>
        <w:rPr>
          <w:rFonts w:eastAsia="Calibri"/>
          <w:b/>
          <w:kern w:val="2"/>
          <w:lang w:eastAsia="en-US"/>
          <w14:ligatures w14:val="standardContextual"/>
        </w:rPr>
      </w:pPr>
      <w:r w:rsidRPr="003E5A42">
        <w:rPr>
          <w:rFonts w:eastAsia="Calibri"/>
          <w:b/>
          <w:kern w:val="2"/>
          <w:lang w:eastAsia="en-US"/>
          <w14:ligatures w14:val="standardContextual"/>
        </w:rPr>
        <w:t>Шаблон оформления рукописи</w:t>
      </w:r>
    </w:p>
    <w:p w14:paraId="474B1D15" w14:textId="77777777" w:rsidR="003E5A42" w:rsidRPr="003E5A42" w:rsidRDefault="003E5A42" w:rsidP="003E5A42">
      <w:pPr>
        <w:spacing w:line="360" w:lineRule="auto"/>
        <w:jc w:val="both"/>
        <w:rPr>
          <w:rFonts w:eastAsia="Calibri"/>
          <w:kern w:val="2"/>
          <w:sz w:val="20"/>
          <w:szCs w:val="20"/>
          <w:lang w:eastAsia="en-US"/>
          <w14:ligatures w14:val="standardContextual"/>
        </w:rPr>
      </w:pPr>
      <w:r w:rsidRPr="003E5A42">
        <w:rPr>
          <w:rFonts w:eastAsia="Calibri"/>
          <w:kern w:val="2"/>
          <w:sz w:val="20"/>
          <w:szCs w:val="20"/>
          <w:lang w:eastAsia="en-US"/>
          <w14:ligatures w14:val="standardContextual"/>
        </w:rPr>
        <w:t>УДК</w:t>
      </w:r>
    </w:p>
    <w:p w14:paraId="27A77823" w14:textId="77777777" w:rsidR="003E5A42" w:rsidRPr="003E5A42" w:rsidRDefault="003E5A42" w:rsidP="003E5A42">
      <w:pPr>
        <w:spacing w:line="360" w:lineRule="auto"/>
        <w:jc w:val="both"/>
        <w:rPr>
          <w:rFonts w:eastAsia="Calibri"/>
          <w:kern w:val="2"/>
          <w:sz w:val="20"/>
          <w:szCs w:val="20"/>
          <w:lang w:eastAsia="en-US"/>
          <w14:ligatures w14:val="standardContextual"/>
        </w:rPr>
      </w:pPr>
      <w:r w:rsidRPr="003E5A42">
        <w:rPr>
          <w:rFonts w:eastAsia="Calibri"/>
          <w:kern w:val="2"/>
          <w:sz w:val="20"/>
          <w:szCs w:val="20"/>
          <w:lang w:eastAsia="en-US"/>
          <w14:ligatures w14:val="standardContextual"/>
        </w:rPr>
        <w:t>ГРНТИ</w:t>
      </w:r>
    </w:p>
    <w:p w14:paraId="5EB89175" w14:textId="77777777" w:rsidR="003E5A42" w:rsidRPr="003E5A42" w:rsidRDefault="003E5A42" w:rsidP="003E5A42">
      <w:pPr>
        <w:spacing w:line="360" w:lineRule="auto"/>
        <w:jc w:val="both"/>
        <w:rPr>
          <w:rFonts w:eastAsia="Calibri"/>
          <w:kern w:val="2"/>
          <w:lang w:eastAsia="en-US"/>
          <w14:ligatures w14:val="standardContextual"/>
        </w:rPr>
      </w:pPr>
    </w:p>
    <w:p w14:paraId="69B11EED" w14:textId="77777777" w:rsidR="003E5A42" w:rsidRPr="003E5A42" w:rsidRDefault="003E5A42" w:rsidP="003E5A42">
      <w:pPr>
        <w:spacing w:line="360" w:lineRule="auto"/>
        <w:jc w:val="both"/>
        <w:rPr>
          <w:rFonts w:eastAsia="Calibri"/>
          <w:kern w:val="2"/>
          <w:lang w:eastAsia="en-US"/>
          <w14:ligatures w14:val="standardContextual"/>
        </w:rPr>
      </w:pPr>
    </w:p>
    <w:p w14:paraId="4AFC59BE" w14:textId="77777777" w:rsidR="003E5A42" w:rsidRPr="003E5A42" w:rsidRDefault="003E5A42" w:rsidP="003E5A42">
      <w:pPr>
        <w:spacing w:line="360" w:lineRule="auto"/>
        <w:jc w:val="center"/>
        <w:rPr>
          <w:rFonts w:eastAsia="Calibri"/>
          <w:kern w:val="2"/>
          <w:lang w:eastAsia="en-US"/>
          <w14:ligatures w14:val="standardContextual"/>
        </w:rPr>
      </w:pPr>
      <w:r w:rsidRPr="003E5A42">
        <w:rPr>
          <w:rFonts w:eastAsia="Calibri"/>
          <w:kern w:val="2"/>
          <w:lang w:eastAsia="en-US"/>
          <w14:ligatures w14:val="standardContextual"/>
        </w:rPr>
        <w:t>Название доклада (статьи) / тезисов доклада</w:t>
      </w:r>
    </w:p>
    <w:p w14:paraId="4E0B9A3A" w14:textId="77777777" w:rsidR="003E5A42" w:rsidRPr="003E5A42" w:rsidRDefault="003E5A42" w:rsidP="003E5A42">
      <w:pPr>
        <w:spacing w:line="360" w:lineRule="auto"/>
        <w:jc w:val="center"/>
        <w:rPr>
          <w:rFonts w:eastAsia="Calibri"/>
          <w:kern w:val="2"/>
          <w:lang w:eastAsia="en-US"/>
          <w14:ligatures w14:val="standardContextual"/>
        </w:rPr>
      </w:pPr>
    </w:p>
    <w:p w14:paraId="2E28727F" w14:textId="77777777" w:rsidR="003E5A42" w:rsidRPr="003E5A42" w:rsidRDefault="003E5A42" w:rsidP="003E5A42">
      <w:pPr>
        <w:spacing w:line="360" w:lineRule="auto"/>
        <w:jc w:val="center"/>
        <w:rPr>
          <w:rFonts w:eastAsia="Calibri"/>
          <w:kern w:val="2"/>
          <w:lang w:eastAsia="en-US"/>
          <w14:ligatures w14:val="standardContextual"/>
        </w:rPr>
      </w:pPr>
      <w:r w:rsidRPr="003E5A42">
        <w:rPr>
          <w:rFonts w:eastAsia="Calibri"/>
          <w:kern w:val="2"/>
          <w:lang w:eastAsia="en-US"/>
          <w14:ligatures w14:val="standardContextual"/>
        </w:rPr>
        <w:t>А. И. ИВАНОВ, Л. Г. ПЕТРОВ</w:t>
      </w:r>
    </w:p>
    <w:p w14:paraId="60BD3A4A" w14:textId="77777777" w:rsidR="003E5A42" w:rsidRPr="003E5A42" w:rsidRDefault="003E5A42" w:rsidP="003E5A42">
      <w:pPr>
        <w:spacing w:line="360" w:lineRule="auto"/>
        <w:jc w:val="both"/>
        <w:rPr>
          <w:rFonts w:eastAsia="Calibri"/>
          <w:kern w:val="2"/>
          <w:lang w:eastAsia="en-US"/>
          <w14:ligatures w14:val="standardContextual"/>
        </w:rPr>
      </w:pPr>
    </w:p>
    <w:p w14:paraId="56722603" w14:textId="77777777" w:rsidR="003E5A42" w:rsidRPr="003E5A42" w:rsidRDefault="003E5A42" w:rsidP="003E5A42">
      <w:pPr>
        <w:spacing w:line="360" w:lineRule="auto"/>
        <w:ind w:left="1134" w:right="1134"/>
        <w:jc w:val="both"/>
        <w:rPr>
          <w:rFonts w:eastAsia="Calibri"/>
          <w:b/>
          <w:kern w:val="2"/>
          <w:sz w:val="20"/>
          <w:szCs w:val="20"/>
          <w:u w:val="single"/>
          <w:lang w:eastAsia="en-US"/>
          <w14:ligatures w14:val="standardContextual"/>
        </w:rPr>
      </w:pPr>
      <w:r w:rsidRPr="003E5A42">
        <w:rPr>
          <w:rFonts w:eastAsia="Calibri"/>
          <w:strike/>
          <w:kern w:val="2"/>
          <w:sz w:val="20"/>
          <w:szCs w:val="20"/>
          <w:lang w:eastAsia="en-US"/>
          <w14:ligatures w14:val="standardContextual"/>
        </w:rPr>
        <w:t xml:space="preserve">Аннотация. </w:t>
      </w:r>
      <w:r w:rsidRPr="003E5A42">
        <w:rPr>
          <w:rFonts w:eastAsia="Calibri"/>
          <w:kern w:val="2"/>
          <w:sz w:val="20"/>
          <w:szCs w:val="20"/>
          <w:lang w:eastAsia="en-US"/>
          <w14:ligatures w14:val="standardContextual"/>
        </w:rPr>
        <w:t xml:space="preserve">Само слово «Аннотация» опускается.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w:t>
      </w:r>
      <w:r w:rsidRPr="003E5A42">
        <w:rPr>
          <w:rFonts w:eastAsia="Calibri"/>
          <w:kern w:val="2"/>
          <w:sz w:val="20"/>
          <w:szCs w:val="20"/>
          <w:u w:val="single"/>
          <w:lang w:eastAsia="en-US"/>
          <w14:ligatures w14:val="standardContextual"/>
        </w:rPr>
        <w:t>Отступ слева и справа 2 см для аннотации, ключевых слов и благодарностей. Абзацный отступ – 0 см.</w:t>
      </w:r>
      <w:r w:rsidRPr="003E5A42">
        <w:rPr>
          <w:rFonts w:eastAsia="Calibri"/>
          <w:kern w:val="2"/>
          <w:sz w:val="20"/>
          <w:szCs w:val="20"/>
          <w:lang w:eastAsia="en-US"/>
          <w14:ligatures w14:val="standardContextual"/>
        </w:rPr>
        <w:t xml:space="preserve"> </w:t>
      </w:r>
      <w:r w:rsidRPr="003E5A42">
        <w:rPr>
          <w:rFonts w:eastAsia="Calibri"/>
          <w:b/>
          <w:kern w:val="2"/>
          <w:sz w:val="20"/>
          <w:szCs w:val="20"/>
          <w:lang w:eastAsia="en-US"/>
          <w14:ligatures w14:val="standardContextual"/>
        </w:rPr>
        <w:t>Для тезисов доклада аннотация и ключевые слова не указываются.</w:t>
      </w:r>
      <w:r w:rsidRPr="003E5A42">
        <w:rPr>
          <w:rFonts w:eastAsia="Calibri"/>
          <w:b/>
          <w:kern w:val="2"/>
          <w:sz w:val="20"/>
          <w:szCs w:val="20"/>
          <w:u w:val="single"/>
          <w:lang w:eastAsia="en-US"/>
          <w14:ligatures w14:val="standardContextual"/>
        </w:rPr>
        <w:t xml:space="preserve"> </w:t>
      </w:r>
    </w:p>
    <w:p w14:paraId="742927F7" w14:textId="77777777" w:rsidR="003E5A42" w:rsidRPr="003E5A42" w:rsidRDefault="003E5A42" w:rsidP="003E5A42">
      <w:pPr>
        <w:spacing w:line="360" w:lineRule="auto"/>
        <w:ind w:left="1134" w:right="1134"/>
        <w:jc w:val="both"/>
        <w:rPr>
          <w:rFonts w:eastAsia="Calibri"/>
          <w:i/>
          <w:kern w:val="2"/>
          <w:sz w:val="20"/>
          <w:szCs w:val="20"/>
          <w:lang w:eastAsia="en-US"/>
          <w14:ligatures w14:val="standardContextual"/>
        </w:rPr>
      </w:pPr>
      <w:r w:rsidRPr="003E5A42">
        <w:rPr>
          <w:rFonts w:eastAsia="Calibri"/>
          <w:i/>
          <w:kern w:val="2"/>
          <w:sz w:val="20"/>
          <w:szCs w:val="20"/>
          <w:lang w:eastAsia="en-US"/>
          <w14:ligatures w14:val="standardContextual"/>
        </w:rPr>
        <w:t>Ключевые слова: слово 1, слово 2, слово 3, слово 4, слово 5, слово 6.</w:t>
      </w:r>
    </w:p>
    <w:p w14:paraId="69EF17A1" w14:textId="77777777" w:rsidR="003E5A42" w:rsidRPr="003E5A42" w:rsidRDefault="003E5A42" w:rsidP="003E5A42">
      <w:pPr>
        <w:spacing w:line="360" w:lineRule="auto"/>
        <w:ind w:left="1134" w:right="1134"/>
        <w:jc w:val="both"/>
        <w:rPr>
          <w:rFonts w:eastAsia="Calibri"/>
          <w:i/>
          <w:kern w:val="2"/>
          <w:sz w:val="20"/>
          <w:szCs w:val="20"/>
          <w:lang w:eastAsia="en-US"/>
          <w14:ligatures w14:val="standardContextual"/>
        </w:rPr>
      </w:pPr>
    </w:p>
    <w:p w14:paraId="146A60B8" w14:textId="77777777" w:rsidR="003E5A42" w:rsidRPr="003E5A42" w:rsidRDefault="003E5A42" w:rsidP="003E5A42">
      <w:pPr>
        <w:spacing w:line="360" w:lineRule="auto"/>
        <w:ind w:left="1134" w:right="1134"/>
        <w:jc w:val="both"/>
        <w:rPr>
          <w:rFonts w:eastAsia="Calibri"/>
          <w:iCs/>
          <w:kern w:val="2"/>
          <w:sz w:val="20"/>
          <w:szCs w:val="20"/>
          <w:lang w:eastAsia="en-US"/>
          <w14:ligatures w14:val="standardContextual"/>
        </w:rPr>
      </w:pPr>
    </w:p>
    <w:p w14:paraId="500D3587" w14:textId="77777777" w:rsidR="003E5A42" w:rsidRPr="003E5A42" w:rsidRDefault="003E5A42" w:rsidP="003E5A42">
      <w:pPr>
        <w:spacing w:line="360" w:lineRule="auto"/>
        <w:ind w:firstLine="284"/>
        <w:jc w:val="both"/>
        <w:rPr>
          <w:rFonts w:eastAsia="Calibri"/>
          <w:iCs/>
          <w:kern w:val="2"/>
          <w:lang w:eastAsia="en-US"/>
          <w14:ligatures w14:val="standardContextual"/>
        </w:rPr>
      </w:pPr>
      <w:r w:rsidRPr="003E5A42">
        <w:rPr>
          <w:rFonts w:eastAsia="Calibri"/>
          <w:iCs/>
          <w:kern w:val="2"/>
          <w:lang w:eastAsia="en-US"/>
          <w14:ligatures w14:val="standardContextual"/>
        </w:rPr>
        <w:t xml:space="preserve">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w:t>
      </w:r>
    </w:p>
    <w:p w14:paraId="25CB6F36" w14:textId="77777777" w:rsidR="003E5A42" w:rsidRPr="003E5A42" w:rsidRDefault="003E5A42" w:rsidP="003E5A42">
      <w:pPr>
        <w:spacing w:line="360" w:lineRule="auto"/>
        <w:ind w:firstLine="284"/>
        <w:jc w:val="both"/>
        <w:rPr>
          <w:rFonts w:eastAsia="Calibri"/>
          <w:iCs/>
          <w:kern w:val="2"/>
          <w:lang w:eastAsia="en-US"/>
          <w14:ligatures w14:val="standardContextual"/>
        </w:rPr>
      </w:pPr>
      <w:r w:rsidRPr="003E5A42">
        <w:rPr>
          <w:rFonts w:eastAsia="Calibri"/>
          <w:iCs/>
          <w:kern w:val="2"/>
          <w:lang w:eastAsia="en-US"/>
          <w14:ligatures w14:val="standardContextual"/>
        </w:rPr>
        <w:t>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w:t>
      </w:r>
    </w:p>
    <w:p w14:paraId="08762511" w14:textId="77777777" w:rsidR="003E5A42" w:rsidRPr="003E5A42" w:rsidRDefault="003E5A42" w:rsidP="003E5A42">
      <w:pPr>
        <w:spacing w:line="360" w:lineRule="auto"/>
        <w:jc w:val="both"/>
        <w:rPr>
          <w:rFonts w:eastAsia="Calibri"/>
          <w:iCs/>
          <w:kern w:val="2"/>
          <w:lang w:eastAsia="en-US"/>
          <w14:ligatures w14:val="standardContextual"/>
        </w:rPr>
      </w:pPr>
    </w:p>
    <w:p w14:paraId="3778A45D" w14:textId="77777777" w:rsidR="003E5A42" w:rsidRPr="003E5A42" w:rsidRDefault="003E5A42" w:rsidP="003E5A42">
      <w:pPr>
        <w:spacing w:line="360" w:lineRule="auto"/>
        <w:ind w:firstLine="284"/>
        <w:jc w:val="center"/>
        <w:rPr>
          <w:rFonts w:eastAsia="Calibri"/>
          <w:b/>
          <w:iCs/>
          <w:kern w:val="2"/>
          <w:sz w:val="20"/>
          <w:szCs w:val="20"/>
          <w:lang w:eastAsia="en-US"/>
          <w14:ligatures w14:val="standardContextual"/>
        </w:rPr>
      </w:pPr>
    </w:p>
    <w:p w14:paraId="2A465D8D" w14:textId="77777777" w:rsidR="003E5A42" w:rsidRPr="003E5A42" w:rsidRDefault="003E5A42" w:rsidP="003E5A42">
      <w:pPr>
        <w:spacing w:line="360" w:lineRule="auto"/>
        <w:ind w:firstLine="284"/>
        <w:jc w:val="center"/>
        <w:rPr>
          <w:rFonts w:eastAsia="Calibri"/>
          <w:b/>
          <w:iCs/>
          <w:kern w:val="2"/>
          <w:sz w:val="20"/>
          <w:szCs w:val="20"/>
          <w:lang w:eastAsia="en-US"/>
          <w14:ligatures w14:val="standardContextual"/>
        </w:rPr>
      </w:pPr>
      <w:r w:rsidRPr="003E5A42">
        <w:rPr>
          <w:rFonts w:eastAsia="Calibri"/>
          <w:b/>
          <w:iCs/>
          <w:kern w:val="2"/>
          <w:sz w:val="20"/>
          <w:szCs w:val="20"/>
          <w:lang w:eastAsia="en-US"/>
          <w14:ligatures w14:val="standardContextual"/>
        </w:rPr>
        <w:t>Список источников</w:t>
      </w:r>
    </w:p>
    <w:p w14:paraId="687FB4ED" w14:textId="77777777" w:rsidR="003E5A42" w:rsidRPr="003E5A42" w:rsidRDefault="003E5A42" w:rsidP="003E5A42">
      <w:pPr>
        <w:spacing w:line="360" w:lineRule="auto"/>
        <w:ind w:firstLine="284"/>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МОНОГРАФИЯ</w:t>
      </w:r>
    </w:p>
    <w:p w14:paraId="064CC59D" w14:textId="77777777"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proofErr w:type="spellStart"/>
      <w:r w:rsidRPr="003E5A42">
        <w:rPr>
          <w:rFonts w:eastAsia="Calibri"/>
          <w:iCs/>
          <w:kern w:val="2"/>
          <w:sz w:val="20"/>
          <w:szCs w:val="20"/>
          <w:lang w:eastAsia="en-US"/>
          <w14:ligatures w14:val="standardContextual"/>
        </w:rPr>
        <w:t>Гродецкая</w:t>
      </w:r>
      <w:proofErr w:type="spellEnd"/>
      <w:r w:rsidRPr="003E5A42">
        <w:rPr>
          <w:rFonts w:eastAsia="Calibri"/>
          <w:iCs/>
          <w:kern w:val="2"/>
          <w:sz w:val="20"/>
          <w:szCs w:val="20"/>
          <w:lang w:eastAsia="en-US"/>
          <w14:ligatures w14:val="standardContextual"/>
        </w:rPr>
        <w:t xml:space="preserve"> А. Г. Гончаров в литературном доме </w:t>
      </w:r>
      <w:proofErr w:type="spellStart"/>
      <w:r w:rsidRPr="003E5A42">
        <w:rPr>
          <w:rFonts w:eastAsia="Calibri"/>
          <w:iCs/>
          <w:kern w:val="2"/>
          <w:sz w:val="20"/>
          <w:szCs w:val="20"/>
          <w:lang w:eastAsia="en-US"/>
          <w14:ligatures w14:val="standardContextual"/>
        </w:rPr>
        <w:t>Майковых</w:t>
      </w:r>
      <w:proofErr w:type="spellEnd"/>
      <w:r w:rsidRPr="003E5A42">
        <w:rPr>
          <w:rFonts w:eastAsia="Calibri"/>
          <w:iCs/>
          <w:kern w:val="2"/>
          <w:sz w:val="20"/>
          <w:szCs w:val="20"/>
          <w:lang w:eastAsia="en-US"/>
          <w14:ligatures w14:val="standardContextual"/>
        </w:rPr>
        <w:t>. 1830–1840-е годы. – СПб.: ИРЛИ РАН; Полиграф, 2021. – 432 с. EDN: VMHZME</w:t>
      </w:r>
    </w:p>
    <w:p w14:paraId="4A45BF86" w14:textId="77777777"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proofErr w:type="spellStart"/>
      <w:r w:rsidRPr="003E5A42">
        <w:rPr>
          <w:rFonts w:eastAsia="Calibri"/>
          <w:iCs/>
          <w:kern w:val="2"/>
          <w:sz w:val="20"/>
          <w:szCs w:val="20"/>
          <w:lang w:eastAsia="en-US"/>
          <w14:ligatures w14:val="standardContextual"/>
        </w:rPr>
        <w:t>Сабенникова</w:t>
      </w:r>
      <w:proofErr w:type="spellEnd"/>
      <w:r w:rsidRPr="003E5A42">
        <w:rPr>
          <w:rFonts w:eastAsia="Calibri"/>
          <w:iCs/>
          <w:kern w:val="2"/>
          <w:sz w:val="20"/>
          <w:szCs w:val="20"/>
          <w:lang w:eastAsia="en-US"/>
          <w14:ligatures w14:val="standardContextual"/>
        </w:rPr>
        <w:t xml:space="preserve"> И. В., </w:t>
      </w:r>
      <w:proofErr w:type="spellStart"/>
      <w:r w:rsidRPr="003E5A42">
        <w:rPr>
          <w:rFonts w:eastAsia="Calibri"/>
          <w:iCs/>
          <w:kern w:val="2"/>
          <w:sz w:val="20"/>
          <w:szCs w:val="20"/>
          <w:lang w:eastAsia="en-US"/>
          <w14:ligatures w14:val="standardContextual"/>
        </w:rPr>
        <w:t>Гентшке</w:t>
      </w:r>
      <w:proofErr w:type="spellEnd"/>
      <w:r w:rsidRPr="003E5A42">
        <w:rPr>
          <w:rFonts w:eastAsia="Calibri"/>
          <w:iCs/>
          <w:kern w:val="2"/>
          <w:sz w:val="20"/>
          <w:szCs w:val="20"/>
          <w:lang w:eastAsia="en-US"/>
          <w14:ligatures w14:val="standardContextual"/>
        </w:rPr>
        <w:t xml:space="preserve"> В. Л., Ловцов А. С. Зарубежная Россия: организации российской эмиграции 1917–1939: материалы к </w:t>
      </w:r>
      <w:proofErr w:type="spellStart"/>
      <w:r w:rsidRPr="003E5A42">
        <w:rPr>
          <w:rFonts w:eastAsia="Calibri"/>
          <w:iCs/>
          <w:kern w:val="2"/>
          <w:sz w:val="20"/>
          <w:szCs w:val="20"/>
          <w:lang w:eastAsia="en-US"/>
          <w14:ligatures w14:val="standardContextual"/>
        </w:rPr>
        <w:t>межархивному</w:t>
      </w:r>
      <w:proofErr w:type="spellEnd"/>
      <w:r w:rsidRPr="003E5A42">
        <w:rPr>
          <w:rFonts w:eastAsia="Calibri"/>
          <w:iCs/>
          <w:kern w:val="2"/>
          <w:sz w:val="20"/>
          <w:szCs w:val="20"/>
          <w:lang w:eastAsia="en-US"/>
          <w14:ligatures w14:val="standardContextual"/>
        </w:rPr>
        <w:t xml:space="preserve"> справочнику. М. – Берлин: Директ-Медиа, 2017. – 403 с. EDN: YNFSLI</w:t>
      </w:r>
    </w:p>
    <w:p w14:paraId="70D146F3" w14:textId="77777777" w:rsidR="003E5A42" w:rsidRPr="003E5A42" w:rsidRDefault="003E5A42" w:rsidP="003E5A42">
      <w:pPr>
        <w:spacing w:line="360" w:lineRule="auto"/>
        <w:ind w:firstLine="284"/>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КНИГА ПОД РЕДАКЦИЕЙ</w:t>
      </w:r>
    </w:p>
    <w:p w14:paraId="279BDF3A" w14:textId="77777777"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r w:rsidRPr="003E5A42">
        <w:rPr>
          <w:rFonts w:eastAsia="Calibri"/>
          <w:iCs/>
          <w:kern w:val="2"/>
          <w:sz w:val="20"/>
          <w:szCs w:val="20"/>
          <w:lang w:eastAsia="en-US"/>
          <w14:ligatures w14:val="standardContextual"/>
        </w:rPr>
        <w:t>Основные направления в методике преподавания иностранных языков в XIX–XX вв. / под ред. И. В. Рахманова. – М.: Педагогика, 1972. – 320 с. EDN: ABCDEF</w:t>
      </w:r>
    </w:p>
    <w:p w14:paraId="21CF6CCB" w14:textId="77777777" w:rsidR="003E5A42" w:rsidRPr="003E5A42" w:rsidRDefault="003E5A42" w:rsidP="003E5A42">
      <w:pPr>
        <w:spacing w:line="360" w:lineRule="auto"/>
        <w:ind w:left="284"/>
        <w:contextualSpacing/>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lastRenderedPageBreak/>
        <w:t xml:space="preserve">СТАТЬЯ В ЖУРНАЛЕ </w:t>
      </w:r>
    </w:p>
    <w:p w14:paraId="2D8D6E7B" w14:textId="77777777"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r w:rsidRPr="003E5A42">
        <w:rPr>
          <w:rFonts w:eastAsia="Calibri"/>
          <w:iCs/>
          <w:kern w:val="2"/>
          <w:sz w:val="20"/>
          <w:szCs w:val="20"/>
          <w:lang w:eastAsia="en-US"/>
          <w14:ligatures w14:val="standardContextual"/>
        </w:rPr>
        <w:t>Зайцев И. А. Применение современных педагогических технологий в образовательном процессе // Вестник Российской академии образования. – 2018. – Т. 26. – № 4 (56). – С. 227–229. EDN: ABCDEF</w:t>
      </w:r>
    </w:p>
    <w:p w14:paraId="25D42A25" w14:textId="77777777" w:rsidR="003E5A42" w:rsidRPr="003E5A42" w:rsidRDefault="003E5A42" w:rsidP="003E5A42">
      <w:pPr>
        <w:spacing w:before="100" w:beforeAutospacing="1" w:after="100" w:afterAutospacing="1" w:line="360" w:lineRule="auto"/>
        <w:ind w:left="284"/>
        <w:contextualSpacing/>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СТАТЬЯ В ЖУРНАЛЕ С УКАЗАНИЕМ DOI</w:t>
      </w:r>
    </w:p>
    <w:p w14:paraId="57618F87" w14:textId="77777777"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proofErr w:type="spellStart"/>
      <w:r w:rsidRPr="003E5A42">
        <w:rPr>
          <w:rFonts w:eastAsia="Calibri"/>
          <w:iCs/>
          <w:kern w:val="2"/>
          <w:sz w:val="20"/>
          <w:szCs w:val="20"/>
          <w:lang w:eastAsia="en-US"/>
          <w14:ligatures w14:val="standardContextual"/>
        </w:rPr>
        <w:t>Корешникова</w:t>
      </w:r>
      <w:proofErr w:type="spellEnd"/>
      <w:r w:rsidRPr="003E5A42">
        <w:rPr>
          <w:rFonts w:eastAsia="Calibri"/>
          <w:iCs/>
          <w:kern w:val="2"/>
          <w:sz w:val="20"/>
          <w:szCs w:val="20"/>
          <w:lang w:eastAsia="en-US"/>
          <w14:ligatures w14:val="standardContextual"/>
        </w:rPr>
        <w:t xml:space="preserve"> Ю. Н., Авдеева Е. А. Заинтересовать нельзя заставить. Роль академической мотивации и стилей преподавания в развитии критического мышления студентов // Вопросы образования. – 2022. – № 3. – С. 36–66. DOI 10.17323/1814-9545-2022-3-36-66. EDN: YIVUFW</w:t>
      </w:r>
    </w:p>
    <w:p w14:paraId="54CC0FD3" w14:textId="77777777" w:rsidR="003E5A42" w:rsidRPr="003E5A42" w:rsidRDefault="003E5A42" w:rsidP="003E5A42">
      <w:pPr>
        <w:spacing w:before="100" w:beforeAutospacing="1" w:after="100" w:afterAutospacing="1" w:line="360" w:lineRule="auto"/>
        <w:ind w:left="284"/>
        <w:contextualSpacing/>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МАТЕРИАЛЫ КОНФЕРЕНЦИИ</w:t>
      </w:r>
    </w:p>
    <w:p w14:paraId="3387ED11" w14:textId="77777777"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r w:rsidRPr="003E5A42">
        <w:rPr>
          <w:rFonts w:eastAsia="Calibri"/>
          <w:iCs/>
          <w:kern w:val="2"/>
          <w:sz w:val="20"/>
          <w:szCs w:val="20"/>
          <w:lang w:eastAsia="en-US"/>
          <w14:ligatures w14:val="standardContextual"/>
        </w:rPr>
        <w:t xml:space="preserve">Нахова Е. А. К вопросу о соотношении судебного доказывания и познания в гражданском судопроизводстве // Теория и практика современной юридической науки: материалы VI </w:t>
      </w:r>
      <w:proofErr w:type="spellStart"/>
      <w:r w:rsidRPr="003E5A42">
        <w:rPr>
          <w:rFonts w:eastAsia="Calibri"/>
          <w:iCs/>
          <w:kern w:val="2"/>
          <w:sz w:val="20"/>
          <w:szCs w:val="20"/>
          <w:lang w:eastAsia="en-US"/>
          <w14:ligatures w14:val="standardContextual"/>
        </w:rPr>
        <w:t>Всерос</w:t>
      </w:r>
      <w:proofErr w:type="spellEnd"/>
      <w:r w:rsidRPr="003E5A42">
        <w:rPr>
          <w:rFonts w:eastAsia="Calibri"/>
          <w:iCs/>
          <w:kern w:val="2"/>
          <w:sz w:val="20"/>
          <w:szCs w:val="20"/>
          <w:lang w:eastAsia="en-US"/>
          <w14:ligatures w14:val="standardContextual"/>
        </w:rPr>
        <w:t>. науч.-</w:t>
      </w:r>
      <w:proofErr w:type="spellStart"/>
      <w:r w:rsidRPr="003E5A42">
        <w:rPr>
          <w:rFonts w:eastAsia="Calibri"/>
          <w:iCs/>
          <w:kern w:val="2"/>
          <w:sz w:val="20"/>
          <w:szCs w:val="20"/>
          <w:lang w:eastAsia="en-US"/>
          <w14:ligatures w14:val="standardContextual"/>
        </w:rPr>
        <w:t>практ</w:t>
      </w:r>
      <w:proofErr w:type="spellEnd"/>
      <w:r w:rsidRPr="003E5A42">
        <w:rPr>
          <w:rFonts w:eastAsia="Calibri"/>
          <w:iCs/>
          <w:kern w:val="2"/>
          <w:sz w:val="20"/>
          <w:szCs w:val="20"/>
          <w:lang w:eastAsia="en-US"/>
          <w14:ligatures w14:val="standardContextual"/>
        </w:rPr>
        <w:t xml:space="preserve">. </w:t>
      </w:r>
      <w:proofErr w:type="spellStart"/>
      <w:r w:rsidRPr="003E5A42">
        <w:rPr>
          <w:rFonts w:eastAsia="Calibri"/>
          <w:iCs/>
          <w:kern w:val="2"/>
          <w:sz w:val="20"/>
          <w:szCs w:val="20"/>
          <w:lang w:eastAsia="en-US"/>
          <w14:ligatures w14:val="standardContextual"/>
        </w:rPr>
        <w:t>конф</w:t>
      </w:r>
      <w:proofErr w:type="spellEnd"/>
      <w:r w:rsidRPr="003E5A42">
        <w:rPr>
          <w:rFonts w:eastAsia="Calibri"/>
          <w:iCs/>
          <w:kern w:val="2"/>
          <w:sz w:val="20"/>
          <w:szCs w:val="20"/>
          <w:lang w:eastAsia="en-US"/>
          <w14:ligatures w14:val="standardContextual"/>
        </w:rPr>
        <w:t>. – СПб.: ЛГУ им. А. С. Пушкина, 2019. – С. 45–48. EDN: ABCDEF</w:t>
      </w:r>
    </w:p>
    <w:p w14:paraId="009E6FBC" w14:textId="77777777" w:rsidR="003E5A42" w:rsidRPr="003E5A42" w:rsidRDefault="003E5A42" w:rsidP="003E5A42">
      <w:pPr>
        <w:spacing w:before="100" w:beforeAutospacing="1" w:after="100" w:afterAutospacing="1" w:line="360" w:lineRule="auto"/>
        <w:ind w:left="284"/>
        <w:contextualSpacing/>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СТАТЬЯ В СБОРНИКЕ СТАТЕЙ</w:t>
      </w:r>
    </w:p>
    <w:p w14:paraId="59312882" w14:textId="77777777"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eastAsia="en-US"/>
          <w14:ligatures w14:val="standardContextual"/>
        </w:rPr>
      </w:pPr>
      <w:proofErr w:type="spellStart"/>
      <w:r w:rsidRPr="003E5A42">
        <w:rPr>
          <w:rFonts w:eastAsia="Calibri"/>
          <w:iCs/>
          <w:kern w:val="2"/>
          <w:sz w:val="20"/>
          <w:szCs w:val="20"/>
          <w:lang w:eastAsia="en-US"/>
          <w14:ligatures w14:val="standardContextual"/>
        </w:rPr>
        <w:t>Хоружий</w:t>
      </w:r>
      <w:proofErr w:type="spellEnd"/>
      <w:r w:rsidRPr="003E5A42">
        <w:rPr>
          <w:rFonts w:eastAsia="Calibri"/>
          <w:iCs/>
          <w:kern w:val="2"/>
          <w:sz w:val="20"/>
          <w:szCs w:val="20"/>
          <w:lang w:eastAsia="en-US"/>
          <w14:ligatures w14:val="standardContextual"/>
        </w:rPr>
        <w:t xml:space="preserve"> С. С. Кризис классической европейской этики в антропологической перспективе // Этика науки: сб. науч. ст. – М.: ИФ РАН, 2007. – С.  85–97. EDN: ABCDEF</w:t>
      </w:r>
    </w:p>
    <w:p w14:paraId="4DEBD952" w14:textId="77777777" w:rsidR="003E5A42" w:rsidRPr="003E5A42" w:rsidRDefault="003E5A42" w:rsidP="003E5A42">
      <w:pPr>
        <w:spacing w:before="100" w:beforeAutospacing="1" w:after="100" w:afterAutospacing="1" w:line="360" w:lineRule="auto"/>
        <w:ind w:left="284"/>
        <w:contextualSpacing/>
        <w:jc w:val="both"/>
        <w:rPr>
          <w:rFonts w:eastAsia="Calibri"/>
          <w:i/>
          <w:iCs/>
          <w:kern w:val="2"/>
          <w:sz w:val="20"/>
          <w:szCs w:val="20"/>
          <w:lang w:val="en-US" w:eastAsia="en-US"/>
          <w14:ligatures w14:val="standardContextual"/>
        </w:rPr>
      </w:pPr>
      <w:r w:rsidRPr="003E5A42">
        <w:rPr>
          <w:rFonts w:eastAsia="Calibri"/>
          <w:i/>
          <w:iCs/>
          <w:kern w:val="2"/>
          <w:sz w:val="20"/>
          <w:szCs w:val="20"/>
          <w:lang w:val="en-US" w:eastAsia="en-US"/>
          <w14:ligatures w14:val="standardContextual"/>
        </w:rPr>
        <w:t>МОНОГРАФИЯ НА ИНОСТРАННОМ ЯЗЫКЕ</w:t>
      </w:r>
    </w:p>
    <w:p w14:paraId="6BFCF8C7" w14:textId="77777777"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val="en-US" w:eastAsia="en-US"/>
          <w14:ligatures w14:val="standardContextual"/>
        </w:rPr>
      </w:pPr>
      <w:r w:rsidRPr="003E5A42">
        <w:rPr>
          <w:rFonts w:eastAsia="Calibri"/>
          <w:iCs/>
          <w:kern w:val="2"/>
          <w:sz w:val="20"/>
          <w:szCs w:val="20"/>
          <w:lang w:val="en-US" w:eastAsia="en-US"/>
          <w14:ligatures w14:val="standardContextual"/>
        </w:rPr>
        <w:t>Kellner D. Media Culture: Cultural Studies, Identity and Politics between the Modern and the Post-modern. – London: Routledge, 1995. – 358 p.</w:t>
      </w:r>
    </w:p>
    <w:p w14:paraId="62E0C9E6" w14:textId="77777777" w:rsidR="003E5A42" w:rsidRPr="003E5A42" w:rsidRDefault="003E5A42" w:rsidP="003E5A42">
      <w:pPr>
        <w:spacing w:before="100" w:beforeAutospacing="1" w:after="100" w:afterAutospacing="1" w:line="360" w:lineRule="auto"/>
        <w:ind w:left="284"/>
        <w:contextualSpacing/>
        <w:jc w:val="both"/>
        <w:rPr>
          <w:rFonts w:eastAsia="Calibri"/>
          <w:i/>
          <w:iCs/>
          <w:kern w:val="2"/>
          <w:sz w:val="20"/>
          <w:szCs w:val="20"/>
          <w:lang w:eastAsia="en-US"/>
          <w14:ligatures w14:val="standardContextual"/>
        </w:rPr>
      </w:pPr>
      <w:r w:rsidRPr="003E5A42">
        <w:rPr>
          <w:rFonts w:eastAsia="Calibri"/>
          <w:i/>
          <w:iCs/>
          <w:kern w:val="2"/>
          <w:sz w:val="20"/>
          <w:szCs w:val="20"/>
          <w:lang w:eastAsia="en-US"/>
          <w14:ligatures w14:val="standardContextual"/>
        </w:rPr>
        <w:t>СТАТЬЯ В ЖУРНАЛЕ НА ИНОСТРАННОМ ЯЗЫКЕ</w:t>
      </w:r>
    </w:p>
    <w:p w14:paraId="64AE7410" w14:textId="77777777" w:rsidR="003E5A42" w:rsidRPr="003E5A42" w:rsidRDefault="003E5A42" w:rsidP="003E5A42">
      <w:pPr>
        <w:widowControl w:val="0"/>
        <w:numPr>
          <w:ilvl w:val="0"/>
          <w:numId w:val="12"/>
        </w:numPr>
        <w:suppressAutoHyphens/>
        <w:spacing w:before="100" w:beforeAutospacing="1" w:after="100" w:afterAutospacing="1" w:line="360" w:lineRule="auto"/>
        <w:ind w:firstLine="284"/>
        <w:contextualSpacing/>
        <w:jc w:val="both"/>
        <w:rPr>
          <w:rFonts w:eastAsia="Calibri"/>
          <w:iCs/>
          <w:kern w:val="2"/>
          <w:sz w:val="20"/>
          <w:szCs w:val="20"/>
          <w:lang w:val="en-US" w:eastAsia="en-US"/>
          <w14:ligatures w14:val="standardContextual"/>
        </w:rPr>
      </w:pPr>
      <w:r w:rsidRPr="003E5A42">
        <w:rPr>
          <w:rFonts w:eastAsia="Calibri"/>
          <w:iCs/>
          <w:kern w:val="2"/>
          <w:sz w:val="20"/>
          <w:szCs w:val="20"/>
          <w:lang w:val="en-US" w:eastAsia="en-US"/>
          <w14:ligatures w14:val="standardContextual"/>
        </w:rPr>
        <w:t xml:space="preserve">Ralph M. Balthasar and </w:t>
      </w:r>
      <w:proofErr w:type="spellStart"/>
      <w:r w:rsidRPr="003E5A42">
        <w:rPr>
          <w:rFonts w:eastAsia="Calibri"/>
          <w:iCs/>
          <w:kern w:val="2"/>
          <w:sz w:val="20"/>
          <w:szCs w:val="20"/>
          <w:lang w:val="en-US" w:eastAsia="en-US"/>
          <w14:ligatures w14:val="standardContextual"/>
        </w:rPr>
        <w:t>Speyr</w:t>
      </w:r>
      <w:proofErr w:type="spellEnd"/>
      <w:r w:rsidRPr="003E5A42">
        <w:rPr>
          <w:rFonts w:eastAsia="Calibri"/>
          <w:iCs/>
          <w:kern w:val="2"/>
          <w:sz w:val="20"/>
          <w:szCs w:val="20"/>
          <w:lang w:val="en-US" w:eastAsia="en-US"/>
          <w14:ligatures w14:val="standardContextual"/>
        </w:rPr>
        <w:t>: First Steps in a Discernment of Spirits // Angelicum. – 2014. – Vol. 91. – No. 2. – Pp. 273–302.</w:t>
      </w:r>
    </w:p>
    <w:p w14:paraId="13A77F27" w14:textId="77777777" w:rsidR="003E5A42" w:rsidRPr="003E5A42" w:rsidRDefault="003E5A42" w:rsidP="003E5A42">
      <w:pPr>
        <w:spacing w:line="360" w:lineRule="auto"/>
        <w:jc w:val="both"/>
        <w:rPr>
          <w:rFonts w:eastAsia="Calibri"/>
          <w:iCs/>
          <w:kern w:val="2"/>
          <w:sz w:val="20"/>
          <w:szCs w:val="20"/>
          <w:lang w:val="en-US" w:eastAsia="en-US"/>
          <w14:ligatures w14:val="standardContextual"/>
        </w:rPr>
      </w:pPr>
    </w:p>
    <w:p w14:paraId="1BC5BFE1" w14:textId="77777777" w:rsidR="003E5A42" w:rsidRPr="003E5A42" w:rsidRDefault="003E5A42" w:rsidP="003E5A42">
      <w:pPr>
        <w:spacing w:after="240" w:line="276" w:lineRule="auto"/>
        <w:jc w:val="center"/>
        <w:rPr>
          <w:rFonts w:eastAsia="Calibri"/>
          <w:b/>
          <w:bCs/>
          <w:sz w:val="20"/>
          <w:szCs w:val="20"/>
          <w:lang w:eastAsia="en-US"/>
        </w:rPr>
      </w:pPr>
      <w:r w:rsidRPr="003E5A42">
        <w:rPr>
          <w:rFonts w:eastAsia="Calibri"/>
          <w:b/>
          <w:bCs/>
          <w:sz w:val="20"/>
          <w:szCs w:val="20"/>
          <w:lang w:eastAsia="en-US"/>
        </w:rPr>
        <w:t>Примеры описания постраничных сносок</w:t>
      </w:r>
    </w:p>
    <w:p w14:paraId="0C5EE3DF" w14:textId="77777777" w:rsidR="003E5A42" w:rsidRPr="003E5A42" w:rsidRDefault="003E5A42" w:rsidP="003E5A42">
      <w:pPr>
        <w:spacing w:line="276" w:lineRule="auto"/>
        <w:ind w:firstLine="284"/>
        <w:jc w:val="both"/>
        <w:rPr>
          <w:rFonts w:eastAsia="Calibri"/>
          <w:i/>
          <w:iCs/>
          <w:sz w:val="20"/>
          <w:szCs w:val="20"/>
          <w:lang w:eastAsia="en-US"/>
        </w:rPr>
      </w:pPr>
      <w:r w:rsidRPr="003E5A42">
        <w:rPr>
          <w:rFonts w:eastAsia="Calibri"/>
          <w:i/>
          <w:iCs/>
          <w:sz w:val="20"/>
          <w:szCs w:val="20"/>
          <w:lang w:eastAsia="en-US"/>
        </w:rPr>
        <w:t>ИНТЕРНЕТ-РЕСУРСЫ</w:t>
      </w:r>
    </w:p>
    <w:p w14:paraId="2F58A047" w14:textId="77777777" w:rsidR="003E5A42" w:rsidRPr="003E5A42" w:rsidRDefault="003E5A42" w:rsidP="003E5A42">
      <w:pPr>
        <w:widowControl w:val="0"/>
        <w:numPr>
          <w:ilvl w:val="0"/>
          <w:numId w:val="13"/>
        </w:numPr>
        <w:suppressAutoHyphens/>
        <w:spacing w:before="100" w:beforeAutospacing="1" w:after="120" w:afterAutospacing="1" w:line="276" w:lineRule="auto"/>
        <w:ind w:firstLine="284"/>
        <w:contextualSpacing/>
        <w:jc w:val="both"/>
        <w:rPr>
          <w:rFonts w:eastAsia="Calibri"/>
          <w:sz w:val="20"/>
          <w:szCs w:val="20"/>
          <w:lang w:eastAsia="en-US"/>
        </w:rPr>
      </w:pPr>
      <w:r w:rsidRPr="003E5A42">
        <w:rPr>
          <w:rFonts w:eastAsia="Calibri"/>
          <w:sz w:val="20"/>
          <w:szCs w:val="20"/>
          <w:lang w:eastAsia="en-US"/>
        </w:rPr>
        <w:t>Статистический отчет за 2018 г. [Электронный ресурс]. URL: https://otchetnost.2018.ru (дата обращения: 11.11.2023).</w:t>
      </w:r>
    </w:p>
    <w:p w14:paraId="76099B75" w14:textId="77777777"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r w:rsidRPr="003E5A42">
        <w:rPr>
          <w:rFonts w:eastAsia="Calibri"/>
          <w:sz w:val="20"/>
          <w:szCs w:val="20"/>
          <w:lang w:eastAsia="en-US"/>
        </w:rPr>
        <w:t>Адамов А. Ветвь // Слово/Word. – 2013. – № 78. [Электронный ресурс]. URL: https://magazines.gorky.media/slovo/2013/78/vetv.html?ysclid=l7n9k8i1l1701490013 (дата обращения: 01.07.2023).</w:t>
      </w:r>
    </w:p>
    <w:p w14:paraId="699DC546" w14:textId="77777777" w:rsidR="003E5A42" w:rsidRPr="003E5A42" w:rsidRDefault="003E5A42" w:rsidP="003E5A42">
      <w:pPr>
        <w:spacing w:before="100" w:beforeAutospacing="1" w:after="100" w:afterAutospacing="1" w:line="360" w:lineRule="auto"/>
        <w:ind w:left="284"/>
        <w:contextualSpacing/>
        <w:jc w:val="both"/>
        <w:rPr>
          <w:rFonts w:eastAsia="Calibri"/>
          <w:i/>
          <w:sz w:val="20"/>
          <w:szCs w:val="20"/>
          <w:lang w:eastAsia="en-US"/>
        </w:rPr>
      </w:pPr>
      <w:r w:rsidRPr="003E5A42">
        <w:rPr>
          <w:rFonts w:eastAsia="Calibri"/>
          <w:i/>
          <w:sz w:val="20"/>
          <w:szCs w:val="20"/>
          <w:lang w:eastAsia="en-US"/>
        </w:rPr>
        <w:t>ИНТЕРНЕТ-РЕСУРСЫ НА ИНОСТРАННОМ ЯЗЫКЕ</w:t>
      </w:r>
    </w:p>
    <w:p w14:paraId="64A5EC50" w14:textId="77777777"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proofErr w:type="spellStart"/>
      <w:r w:rsidRPr="003E5A42">
        <w:rPr>
          <w:rFonts w:eastAsia="Calibri"/>
          <w:sz w:val="20"/>
          <w:szCs w:val="20"/>
          <w:lang w:val="en-US" w:eastAsia="en-US"/>
        </w:rPr>
        <w:t>Magrin</w:t>
      </w:r>
      <w:proofErr w:type="spellEnd"/>
      <w:r w:rsidRPr="003E5A42">
        <w:rPr>
          <w:rFonts w:eastAsia="Calibri"/>
          <w:sz w:val="20"/>
          <w:szCs w:val="20"/>
          <w:lang w:val="en-US" w:eastAsia="en-US"/>
        </w:rPr>
        <w:t xml:space="preserve">, M., Marini, E., </w:t>
      </w:r>
      <w:proofErr w:type="spellStart"/>
      <w:r w:rsidRPr="003E5A42">
        <w:rPr>
          <w:rFonts w:eastAsia="Calibri"/>
          <w:sz w:val="20"/>
          <w:szCs w:val="20"/>
          <w:lang w:val="en-US" w:eastAsia="en-US"/>
        </w:rPr>
        <w:t>Nicolotti</w:t>
      </w:r>
      <w:proofErr w:type="spellEnd"/>
      <w:r w:rsidRPr="003E5A42">
        <w:rPr>
          <w:rFonts w:eastAsia="Calibri"/>
          <w:sz w:val="20"/>
          <w:szCs w:val="20"/>
          <w:lang w:val="en-US" w:eastAsia="en-US"/>
        </w:rPr>
        <w:t xml:space="preserve">, M. (2019) Employability of Disabled Graduates: Resources for a Sustainable Employment // Sustainability, Vol. 11, 1542. Available at: https://www.researchgate.net/publication/331785037 _Employability_of_Disabled_Graduates_Resources_for_a_Sustainable_Employment. </w:t>
      </w:r>
      <w:r w:rsidRPr="003E5A42">
        <w:rPr>
          <w:rFonts w:eastAsia="Calibri"/>
          <w:sz w:val="20"/>
          <w:szCs w:val="20"/>
          <w:lang w:eastAsia="en-US"/>
        </w:rPr>
        <w:t>(</w:t>
      </w:r>
      <w:proofErr w:type="spellStart"/>
      <w:r w:rsidRPr="003E5A42">
        <w:rPr>
          <w:rFonts w:eastAsia="Calibri"/>
          <w:sz w:val="20"/>
          <w:szCs w:val="20"/>
          <w:lang w:eastAsia="en-US"/>
        </w:rPr>
        <w:t>accessed</w:t>
      </w:r>
      <w:proofErr w:type="spellEnd"/>
      <w:r w:rsidRPr="003E5A42">
        <w:rPr>
          <w:rFonts w:eastAsia="Calibri"/>
          <w:sz w:val="20"/>
          <w:szCs w:val="20"/>
          <w:lang w:eastAsia="en-US"/>
        </w:rPr>
        <w:t xml:space="preserve"> 14 </w:t>
      </w:r>
      <w:proofErr w:type="spellStart"/>
      <w:r w:rsidRPr="003E5A42">
        <w:rPr>
          <w:rFonts w:eastAsia="Calibri"/>
          <w:sz w:val="20"/>
          <w:szCs w:val="20"/>
          <w:lang w:eastAsia="en-US"/>
        </w:rPr>
        <w:t>May</w:t>
      </w:r>
      <w:proofErr w:type="spellEnd"/>
      <w:r w:rsidRPr="003E5A42">
        <w:rPr>
          <w:rFonts w:eastAsia="Calibri"/>
          <w:sz w:val="20"/>
          <w:szCs w:val="20"/>
          <w:lang w:eastAsia="en-US"/>
        </w:rPr>
        <w:t xml:space="preserve"> 2023).</w:t>
      </w:r>
    </w:p>
    <w:p w14:paraId="4C67A9C1" w14:textId="77777777" w:rsidR="003E5A42" w:rsidRPr="003E5A42" w:rsidRDefault="003E5A42" w:rsidP="003E5A42">
      <w:pPr>
        <w:spacing w:before="100" w:beforeAutospacing="1" w:after="100" w:afterAutospacing="1" w:line="360" w:lineRule="auto"/>
        <w:ind w:left="284"/>
        <w:contextualSpacing/>
        <w:jc w:val="both"/>
        <w:rPr>
          <w:rFonts w:eastAsia="Calibri"/>
          <w:i/>
          <w:sz w:val="20"/>
          <w:szCs w:val="20"/>
          <w:lang w:eastAsia="en-US"/>
        </w:rPr>
      </w:pPr>
      <w:r w:rsidRPr="003E5A42">
        <w:rPr>
          <w:rFonts w:eastAsia="Calibri"/>
          <w:i/>
          <w:sz w:val="20"/>
          <w:szCs w:val="20"/>
          <w:lang w:eastAsia="en-US"/>
        </w:rPr>
        <w:t>НОРМАТИВНО-ПРАВОВЫЕ АКТЫ</w:t>
      </w:r>
    </w:p>
    <w:p w14:paraId="3FE83225" w14:textId="77777777"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r w:rsidRPr="003E5A42">
        <w:rPr>
          <w:rFonts w:eastAsia="Calibri"/>
          <w:sz w:val="20"/>
          <w:szCs w:val="20"/>
          <w:lang w:eastAsia="en-US"/>
        </w:rPr>
        <w:t xml:space="preserve">Об образовании в Российской Федерации: </w:t>
      </w:r>
      <w:proofErr w:type="spellStart"/>
      <w:r w:rsidRPr="003E5A42">
        <w:rPr>
          <w:rFonts w:eastAsia="Calibri"/>
          <w:sz w:val="20"/>
          <w:szCs w:val="20"/>
          <w:lang w:eastAsia="en-US"/>
        </w:rPr>
        <w:t>федер</w:t>
      </w:r>
      <w:proofErr w:type="spellEnd"/>
      <w:r w:rsidRPr="003E5A42">
        <w:rPr>
          <w:rFonts w:eastAsia="Calibri"/>
          <w:sz w:val="20"/>
          <w:szCs w:val="20"/>
          <w:lang w:eastAsia="en-US"/>
        </w:rPr>
        <w:t>. закон № 273-ФЗ от 29 дек. 2012 г.</w:t>
      </w:r>
    </w:p>
    <w:p w14:paraId="49D897E6" w14:textId="77777777" w:rsidR="003E5A42" w:rsidRPr="003E5A42" w:rsidRDefault="003E5A42" w:rsidP="003E5A42">
      <w:pPr>
        <w:spacing w:before="100" w:beforeAutospacing="1" w:after="100" w:afterAutospacing="1" w:line="360" w:lineRule="auto"/>
        <w:ind w:left="284"/>
        <w:contextualSpacing/>
        <w:jc w:val="both"/>
        <w:rPr>
          <w:rFonts w:eastAsia="Calibri"/>
          <w:i/>
          <w:sz w:val="20"/>
          <w:szCs w:val="20"/>
          <w:lang w:eastAsia="en-US"/>
        </w:rPr>
      </w:pPr>
      <w:r w:rsidRPr="003E5A42">
        <w:rPr>
          <w:rFonts w:eastAsia="Calibri"/>
          <w:i/>
          <w:sz w:val="20"/>
          <w:szCs w:val="20"/>
          <w:lang w:eastAsia="en-US"/>
        </w:rPr>
        <w:t>УЧЕБНЫЕ ИЗДАНИЯ</w:t>
      </w:r>
    </w:p>
    <w:p w14:paraId="15481FF5" w14:textId="77777777"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r w:rsidRPr="003E5A42">
        <w:rPr>
          <w:rFonts w:eastAsia="Calibri"/>
          <w:sz w:val="20"/>
          <w:szCs w:val="20"/>
          <w:lang w:eastAsia="en-US"/>
        </w:rPr>
        <w:t>Пасечник С. В. Логика: учеб. М.: Просвещение, 2006. 256 с.</w:t>
      </w:r>
    </w:p>
    <w:p w14:paraId="0AFEC5D6" w14:textId="77777777" w:rsidR="003E5A42" w:rsidRPr="003E5A42" w:rsidRDefault="003E5A42" w:rsidP="003E5A42">
      <w:pPr>
        <w:spacing w:before="100" w:beforeAutospacing="1" w:after="100" w:afterAutospacing="1" w:line="360" w:lineRule="auto"/>
        <w:ind w:left="284"/>
        <w:contextualSpacing/>
        <w:jc w:val="both"/>
        <w:rPr>
          <w:rFonts w:eastAsia="Calibri"/>
          <w:i/>
          <w:sz w:val="20"/>
          <w:szCs w:val="20"/>
          <w:lang w:eastAsia="en-US"/>
        </w:rPr>
      </w:pPr>
      <w:r w:rsidRPr="003E5A42">
        <w:rPr>
          <w:rFonts w:eastAsia="Calibri"/>
          <w:i/>
          <w:sz w:val="20"/>
          <w:szCs w:val="20"/>
          <w:lang w:eastAsia="en-US"/>
        </w:rPr>
        <w:t>ДИССЕРТАЦИЯ И АВТОРЕФЕРАТ ДИССЕРТАЦИИ</w:t>
      </w:r>
    </w:p>
    <w:p w14:paraId="6AF84F52" w14:textId="77777777"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r w:rsidRPr="003E5A42">
        <w:rPr>
          <w:rFonts w:eastAsia="Calibri"/>
          <w:sz w:val="20"/>
          <w:szCs w:val="20"/>
          <w:lang w:eastAsia="en-US"/>
        </w:rPr>
        <w:t xml:space="preserve">Иванов И. А. Психологическое развитие школьников 13–14 лет: </w:t>
      </w:r>
      <w:proofErr w:type="spellStart"/>
      <w:r w:rsidRPr="003E5A42">
        <w:rPr>
          <w:rFonts w:eastAsia="Calibri"/>
          <w:sz w:val="20"/>
          <w:szCs w:val="20"/>
          <w:lang w:eastAsia="en-US"/>
        </w:rPr>
        <w:t>дис</w:t>
      </w:r>
      <w:proofErr w:type="spellEnd"/>
      <w:r w:rsidRPr="003E5A42">
        <w:rPr>
          <w:rFonts w:eastAsia="Calibri"/>
          <w:sz w:val="20"/>
          <w:szCs w:val="20"/>
          <w:lang w:eastAsia="en-US"/>
        </w:rPr>
        <w:t xml:space="preserve">. … канд. психол. </w:t>
      </w:r>
      <w:r w:rsidRPr="003E5A42">
        <w:rPr>
          <w:rFonts w:eastAsia="Calibri"/>
          <w:sz w:val="20"/>
          <w:szCs w:val="20"/>
          <w:lang w:eastAsia="en-US"/>
        </w:rPr>
        <w:lastRenderedPageBreak/>
        <w:t>наук. Курск, 2004. 189 с. EDN: ABCDEF</w:t>
      </w:r>
    </w:p>
    <w:p w14:paraId="5307FFEA" w14:textId="77777777" w:rsidR="003E5A42" w:rsidRPr="003E5A42" w:rsidRDefault="003E5A42" w:rsidP="003E5A42">
      <w:pPr>
        <w:widowControl w:val="0"/>
        <w:numPr>
          <w:ilvl w:val="0"/>
          <w:numId w:val="13"/>
        </w:numPr>
        <w:suppressAutoHyphens/>
        <w:spacing w:before="100" w:beforeAutospacing="1" w:after="100" w:afterAutospacing="1" w:line="360" w:lineRule="auto"/>
        <w:ind w:firstLine="284"/>
        <w:contextualSpacing/>
        <w:jc w:val="both"/>
        <w:rPr>
          <w:rFonts w:eastAsia="Calibri"/>
          <w:sz w:val="20"/>
          <w:szCs w:val="20"/>
          <w:lang w:eastAsia="en-US"/>
        </w:rPr>
      </w:pPr>
      <w:r w:rsidRPr="003E5A42">
        <w:rPr>
          <w:rFonts w:eastAsia="Calibri"/>
          <w:sz w:val="20"/>
          <w:szCs w:val="20"/>
          <w:lang w:eastAsia="en-US"/>
        </w:rPr>
        <w:t xml:space="preserve">Иванов И. А. Психологическое развитие школьников 13–14 лет: </w:t>
      </w:r>
      <w:proofErr w:type="spellStart"/>
      <w:r w:rsidRPr="003E5A42">
        <w:rPr>
          <w:rFonts w:eastAsia="Calibri"/>
          <w:sz w:val="20"/>
          <w:szCs w:val="20"/>
          <w:lang w:eastAsia="en-US"/>
        </w:rPr>
        <w:t>автореф</w:t>
      </w:r>
      <w:proofErr w:type="spellEnd"/>
      <w:r w:rsidRPr="003E5A42">
        <w:rPr>
          <w:rFonts w:eastAsia="Calibri"/>
          <w:sz w:val="20"/>
          <w:szCs w:val="20"/>
          <w:lang w:eastAsia="en-US"/>
        </w:rPr>
        <w:t xml:space="preserve">. </w:t>
      </w:r>
      <w:proofErr w:type="spellStart"/>
      <w:r w:rsidRPr="003E5A42">
        <w:rPr>
          <w:rFonts w:eastAsia="Calibri"/>
          <w:sz w:val="20"/>
          <w:szCs w:val="20"/>
          <w:lang w:eastAsia="en-US"/>
        </w:rPr>
        <w:t>дис</w:t>
      </w:r>
      <w:proofErr w:type="spellEnd"/>
      <w:r w:rsidRPr="003E5A42">
        <w:rPr>
          <w:rFonts w:eastAsia="Calibri"/>
          <w:sz w:val="20"/>
          <w:szCs w:val="20"/>
          <w:lang w:eastAsia="en-US"/>
        </w:rPr>
        <w:t>. … канд. психол. наук. Курск, 2004. 19 с. EDN: ABCDEF</w:t>
      </w:r>
    </w:p>
    <w:p w14:paraId="74F188E6" w14:textId="77777777" w:rsidR="003E5A42" w:rsidRDefault="003E5A42" w:rsidP="000566D6">
      <w:pPr>
        <w:spacing w:line="276" w:lineRule="auto"/>
        <w:ind w:firstLine="709"/>
        <w:jc w:val="both"/>
        <w:rPr>
          <w:bCs/>
          <w:sz w:val="26"/>
          <w:szCs w:val="26"/>
        </w:rPr>
      </w:pPr>
    </w:p>
    <w:p w14:paraId="32659ECB" w14:textId="516961E0" w:rsidR="00101EEE" w:rsidRPr="00AA4025" w:rsidRDefault="00101EEE" w:rsidP="00AA4025">
      <w:pPr>
        <w:spacing w:line="276" w:lineRule="auto"/>
        <w:jc w:val="both"/>
        <w:rPr>
          <w:bCs/>
          <w:sz w:val="26"/>
          <w:szCs w:val="26"/>
        </w:rPr>
      </w:pPr>
      <w:bookmarkStart w:id="0" w:name="_GoBack"/>
      <w:bookmarkEnd w:id="0"/>
    </w:p>
    <w:sectPr w:rsidR="00101EEE" w:rsidRPr="00AA4025" w:rsidSect="004E299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0A18"/>
    <w:multiLevelType w:val="hybridMultilevel"/>
    <w:tmpl w:val="8A929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347DEA"/>
    <w:multiLevelType w:val="hybridMultilevel"/>
    <w:tmpl w:val="364ED33C"/>
    <w:lvl w:ilvl="0" w:tplc="31C0E47A">
      <w:start w:val="1"/>
      <w:numFmt w:val="bullet"/>
      <w:lvlText w:val=""/>
      <w:lvlJc w:val="left"/>
      <w:pPr>
        <w:ind w:left="1429" w:hanging="360"/>
      </w:pPr>
      <w:rPr>
        <w:rFonts w:ascii="Symbol" w:hAnsi="Symbol"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BE729C4"/>
    <w:multiLevelType w:val="hybridMultilevel"/>
    <w:tmpl w:val="1BB0B4C4"/>
    <w:lvl w:ilvl="0" w:tplc="08090005">
      <w:start w:val="1"/>
      <w:numFmt w:val="bullet"/>
      <w:lvlText w:val=""/>
      <w:lvlJc w:val="left"/>
      <w:pPr>
        <w:ind w:left="1429" w:hanging="360"/>
      </w:pPr>
      <w:rPr>
        <w:rFonts w:ascii="Wingdings" w:hAnsi="Wingdings"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211E3F07"/>
    <w:multiLevelType w:val="hybridMultilevel"/>
    <w:tmpl w:val="6058A2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9DA4772"/>
    <w:multiLevelType w:val="hybridMultilevel"/>
    <w:tmpl w:val="56124DF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30A27E96"/>
    <w:multiLevelType w:val="hybridMultilevel"/>
    <w:tmpl w:val="722C85E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7B26D37"/>
    <w:multiLevelType w:val="hybridMultilevel"/>
    <w:tmpl w:val="6186AB2E"/>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9860D64"/>
    <w:multiLevelType w:val="hybridMultilevel"/>
    <w:tmpl w:val="BC4C312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1B91642"/>
    <w:multiLevelType w:val="hybridMultilevel"/>
    <w:tmpl w:val="0F52235C"/>
    <w:lvl w:ilvl="0" w:tplc="E5906356">
      <w:start w:val="1"/>
      <w:numFmt w:val="decimal"/>
      <w:lvlText w:val="%1."/>
      <w:lvlJc w:val="left"/>
      <w:pPr>
        <w:ind w:left="1117" w:hanging="360"/>
      </w:pPr>
    </w:lvl>
    <w:lvl w:ilvl="1" w:tplc="6172E66E">
      <w:start w:val="1"/>
      <w:numFmt w:val="lowerLetter"/>
      <w:lvlText w:val="%2."/>
      <w:lvlJc w:val="left"/>
      <w:pPr>
        <w:ind w:left="1837" w:hanging="360"/>
      </w:pPr>
    </w:lvl>
    <w:lvl w:ilvl="2" w:tplc="AEBE3650">
      <w:start w:val="1"/>
      <w:numFmt w:val="lowerRoman"/>
      <w:lvlText w:val="%3."/>
      <w:lvlJc w:val="right"/>
      <w:pPr>
        <w:ind w:left="2557" w:hanging="180"/>
      </w:pPr>
    </w:lvl>
    <w:lvl w:ilvl="3" w:tplc="133AE7BE">
      <w:start w:val="1"/>
      <w:numFmt w:val="decimal"/>
      <w:lvlText w:val="%4."/>
      <w:lvlJc w:val="left"/>
      <w:pPr>
        <w:ind w:left="3277" w:hanging="360"/>
      </w:pPr>
    </w:lvl>
    <w:lvl w:ilvl="4" w:tplc="053C2CD8">
      <w:start w:val="1"/>
      <w:numFmt w:val="lowerLetter"/>
      <w:lvlText w:val="%5."/>
      <w:lvlJc w:val="left"/>
      <w:pPr>
        <w:ind w:left="3997" w:hanging="360"/>
      </w:pPr>
    </w:lvl>
    <w:lvl w:ilvl="5" w:tplc="B2A266D2">
      <w:start w:val="1"/>
      <w:numFmt w:val="lowerRoman"/>
      <w:lvlText w:val="%6."/>
      <w:lvlJc w:val="right"/>
      <w:pPr>
        <w:ind w:left="4717" w:hanging="180"/>
      </w:pPr>
    </w:lvl>
    <w:lvl w:ilvl="6" w:tplc="E6B072A4">
      <w:start w:val="1"/>
      <w:numFmt w:val="decimal"/>
      <w:lvlText w:val="%7."/>
      <w:lvlJc w:val="left"/>
      <w:pPr>
        <w:ind w:left="5437" w:hanging="360"/>
      </w:pPr>
    </w:lvl>
    <w:lvl w:ilvl="7" w:tplc="71821362">
      <w:start w:val="1"/>
      <w:numFmt w:val="lowerLetter"/>
      <w:lvlText w:val="%8."/>
      <w:lvlJc w:val="left"/>
      <w:pPr>
        <w:ind w:left="6157" w:hanging="360"/>
      </w:pPr>
    </w:lvl>
    <w:lvl w:ilvl="8" w:tplc="D9F0513C">
      <w:start w:val="1"/>
      <w:numFmt w:val="lowerRoman"/>
      <w:lvlText w:val="%9."/>
      <w:lvlJc w:val="right"/>
      <w:pPr>
        <w:ind w:left="6877" w:hanging="180"/>
      </w:pPr>
    </w:lvl>
  </w:abstractNum>
  <w:abstractNum w:abstractNumId="9" w15:restartNumberingAfterBreak="0">
    <w:nsid w:val="562C218A"/>
    <w:multiLevelType w:val="multilevel"/>
    <w:tmpl w:val="C50AC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EE52A3"/>
    <w:multiLevelType w:val="hybridMultilevel"/>
    <w:tmpl w:val="07DA9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A416F2"/>
    <w:multiLevelType w:val="hybridMultilevel"/>
    <w:tmpl w:val="027CB1F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7C4E1B0E"/>
    <w:multiLevelType w:val="hybridMultilevel"/>
    <w:tmpl w:val="2D741C94"/>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7FAA7C04"/>
    <w:multiLevelType w:val="hybridMultilevel"/>
    <w:tmpl w:val="F44EF5A0"/>
    <w:lvl w:ilvl="0" w:tplc="FFFFFFFF">
      <w:start w:val="1"/>
      <w:numFmt w:val="bullet"/>
      <w:lvlText w:val=""/>
      <w:lvlJc w:val="left"/>
      <w:pPr>
        <w:ind w:left="1429" w:hanging="360"/>
      </w:pPr>
      <w:rPr>
        <w:rFonts w:ascii="Wingdings" w:hAnsi="Wingdings" w:hint="default"/>
      </w:rPr>
    </w:lvl>
    <w:lvl w:ilvl="1" w:tplc="0809000F">
      <w:start w:val="1"/>
      <w:numFmt w:val="decimal"/>
      <w:lvlText w:val="%2."/>
      <w:lvlJc w:val="left"/>
      <w:pPr>
        <w:ind w:left="2149" w:hanging="360"/>
      </w:p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6"/>
  </w:num>
  <w:num w:numId="2">
    <w:abstractNumId w:val="0"/>
  </w:num>
  <w:num w:numId="3">
    <w:abstractNumId w:val="6"/>
  </w:num>
  <w:num w:numId="4">
    <w:abstractNumId w:val="4"/>
  </w:num>
  <w:num w:numId="5">
    <w:abstractNumId w:val="10"/>
  </w:num>
  <w:num w:numId="6">
    <w:abstractNumId w:val="7"/>
  </w:num>
  <w:num w:numId="7">
    <w:abstractNumId w:val="9"/>
  </w:num>
  <w:num w:numId="8">
    <w:abstractNumId w:val="3"/>
  </w:num>
  <w:num w:numId="9">
    <w:abstractNumId w:val="2"/>
  </w:num>
  <w:num w:numId="10">
    <w:abstractNumId w:val="11"/>
  </w:num>
  <w:num w:numId="11">
    <w:abstractNumId w:val="12"/>
  </w:num>
  <w:num w:numId="12">
    <w:abstractNumId w:val="5"/>
  </w:num>
  <w:num w:numId="13">
    <w:abstractNumId w:val="8"/>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FC"/>
    <w:rsid w:val="00012F2B"/>
    <w:rsid w:val="00017546"/>
    <w:rsid w:val="0002635A"/>
    <w:rsid w:val="000426A0"/>
    <w:rsid w:val="00043A17"/>
    <w:rsid w:val="00044589"/>
    <w:rsid w:val="00044A30"/>
    <w:rsid w:val="00045C56"/>
    <w:rsid w:val="000545D6"/>
    <w:rsid w:val="000566D6"/>
    <w:rsid w:val="00063094"/>
    <w:rsid w:val="000646FC"/>
    <w:rsid w:val="0006594F"/>
    <w:rsid w:val="00097CC9"/>
    <w:rsid w:val="000A59B1"/>
    <w:rsid w:val="000A5A16"/>
    <w:rsid w:val="000B5A16"/>
    <w:rsid w:val="000E5B6E"/>
    <w:rsid w:val="000F5D47"/>
    <w:rsid w:val="00101EEE"/>
    <w:rsid w:val="00106A1A"/>
    <w:rsid w:val="001072A4"/>
    <w:rsid w:val="0011071B"/>
    <w:rsid w:val="00110E46"/>
    <w:rsid w:val="00124036"/>
    <w:rsid w:val="00132EC8"/>
    <w:rsid w:val="00137C33"/>
    <w:rsid w:val="0015747F"/>
    <w:rsid w:val="00180DA5"/>
    <w:rsid w:val="001B23C5"/>
    <w:rsid w:val="001B497F"/>
    <w:rsid w:val="001D7FE2"/>
    <w:rsid w:val="001F7F98"/>
    <w:rsid w:val="002039EF"/>
    <w:rsid w:val="00282039"/>
    <w:rsid w:val="00294787"/>
    <w:rsid w:val="00296C3C"/>
    <w:rsid w:val="002A3795"/>
    <w:rsid w:val="002C2351"/>
    <w:rsid w:val="002D2A9A"/>
    <w:rsid w:val="002F6FFA"/>
    <w:rsid w:val="00327E25"/>
    <w:rsid w:val="003445CB"/>
    <w:rsid w:val="003457B0"/>
    <w:rsid w:val="00357C25"/>
    <w:rsid w:val="00371324"/>
    <w:rsid w:val="00372582"/>
    <w:rsid w:val="0039426F"/>
    <w:rsid w:val="003A12A3"/>
    <w:rsid w:val="003B025A"/>
    <w:rsid w:val="003B1B1D"/>
    <w:rsid w:val="003B2F38"/>
    <w:rsid w:val="003B36CF"/>
    <w:rsid w:val="003B727B"/>
    <w:rsid w:val="003D4F14"/>
    <w:rsid w:val="003E47C8"/>
    <w:rsid w:val="003E5A42"/>
    <w:rsid w:val="003F4E89"/>
    <w:rsid w:val="00407D57"/>
    <w:rsid w:val="00430D2D"/>
    <w:rsid w:val="004310CE"/>
    <w:rsid w:val="00445592"/>
    <w:rsid w:val="004619FF"/>
    <w:rsid w:val="00483BD1"/>
    <w:rsid w:val="004D289C"/>
    <w:rsid w:val="004D70B8"/>
    <w:rsid w:val="004E299E"/>
    <w:rsid w:val="004F3909"/>
    <w:rsid w:val="005202C9"/>
    <w:rsid w:val="00555FB8"/>
    <w:rsid w:val="005573FE"/>
    <w:rsid w:val="00562D33"/>
    <w:rsid w:val="00566C7A"/>
    <w:rsid w:val="00573AEE"/>
    <w:rsid w:val="005853BB"/>
    <w:rsid w:val="005A4A05"/>
    <w:rsid w:val="0060527F"/>
    <w:rsid w:val="006160F5"/>
    <w:rsid w:val="00621D04"/>
    <w:rsid w:val="00625B2F"/>
    <w:rsid w:val="00632913"/>
    <w:rsid w:val="00634FA9"/>
    <w:rsid w:val="006509A1"/>
    <w:rsid w:val="00662F30"/>
    <w:rsid w:val="00670FB6"/>
    <w:rsid w:val="00671AFC"/>
    <w:rsid w:val="006D79A1"/>
    <w:rsid w:val="006E2BAA"/>
    <w:rsid w:val="00710D94"/>
    <w:rsid w:val="00714F04"/>
    <w:rsid w:val="00721C66"/>
    <w:rsid w:val="00721D27"/>
    <w:rsid w:val="00725665"/>
    <w:rsid w:val="00726A1B"/>
    <w:rsid w:val="0074463E"/>
    <w:rsid w:val="00756FEF"/>
    <w:rsid w:val="00773C9E"/>
    <w:rsid w:val="007C1808"/>
    <w:rsid w:val="007C64FD"/>
    <w:rsid w:val="007E41CF"/>
    <w:rsid w:val="007F5300"/>
    <w:rsid w:val="00801B12"/>
    <w:rsid w:val="00843313"/>
    <w:rsid w:val="00870818"/>
    <w:rsid w:val="00871AF7"/>
    <w:rsid w:val="008908A2"/>
    <w:rsid w:val="008B5A55"/>
    <w:rsid w:val="008C2E9B"/>
    <w:rsid w:val="00910972"/>
    <w:rsid w:val="00916812"/>
    <w:rsid w:val="00921D71"/>
    <w:rsid w:val="009247C2"/>
    <w:rsid w:val="00936A16"/>
    <w:rsid w:val="00947578"/>
    <w:rsid w:val="00981FD6"/>
    <w:rsid w:val="00990BD5"/>
    <w:rsid w:val="009A031B"/>
    <w:rsid w:val="009A6982"/>
    <w:rsid w:val="009B2AFB"/>
    <w:rsid w:val="009E5EAB"/>
    <w:rsid w:val="009F11B6"/>
    <w:rsid w:val="00A16DF7"/>
    <w:rsid w:val="00A17F07"/>
    <w:rsid w:val="00A21E03"/>
    <w:rsid w:val="00A3501D"/>
    <w:rsid w:val="00A5012F"/>
    <w:rsid w:val="00A855DF"/>
    <w:rsid w:val="00A87AB1"/>
    <w:rsid w:val="00A90896"/>
    <w:rsid w:val="00AA4025"/>
    <w:rsid w:val="00AA4850"/>
    <w:rsid w:val="00AF2A1E"/>
    <w:rsid w:val="00AF4BA6"/>
    <w:rsid w:val="00B0506A"/>
    <w:rsid w:val="00B342D7"/>
    <w:rsid w:val="00B669BF"/>
    <w:rsid w:val="00B74CBC"/>
    <w:rsid w:val="00B756C7"/>
    <w:rsid w:val="00B80D49"/>
    <w:rsid w:val="00B86937"/>
    <w:rsid w:val="00BC61B3"/>
    <w:rsid w:val="00C016DE"/>
    <w:rsid w:val="00C0498A"/>
    <w:rsid w:val="00C22498"/>
    <w:rsid w:val="00C249B3"/>
    <w:rsid w:val="00C30254"/>
    <w:rsid w:val="00C66A5A"/>
    <w:rsid w:val="00C94BB9"/>
    <w:rsid w:val="00CA2BCE"/>
    <w:rsid w:val="00CB2834"/>
    <w:rsid w:val="00CD0421"/>
    <w:rsid w:val="00CF79F2"/>
    <w:rsid w:val="00D03796"/>
    <w:rsid w:val="00D17484"/>
    <w:rsid w:val="00D4205A"/>
    <w:rsid w:val="00D54CE1"/>
    <w:rsid w:val="00D562C7"/>
    <w:rsid w:val="00D57739"/>
    <w:rsid w:val="00D60093"/>
    <w:rsid w:val="00D626FC"/>
    <w:rsid w:val="00D70CC6"/>
    <w:rsid w:val="00DA358A"/>
    <w:rsid w:val="00DB1E58"/>
    <w:rsid w:val="00DD23A5"/>
    <w:rsid w:val="00DE390F"/>
    <w:rsid w:val="00E23866"/>
    <w:rsid w:val="00E27385"/>
    <w:rsid w:val="00E57424"/>
    <w:rsid w:val="00E82D4A"/>
    <w:rsid w:val="00E9164E"/>
    <w:rsid w:val="00E91AEB"/>
    <w:rsid w:val="00EB16E8"/>
    <w:rsid w:val="00EB16F0"/>
    <w:rsid w:val="00EC0B3C"/>
    <w:rsid w:val="00EC689D"/>
    <w:rsid w:val="00ED484B"/>
    <w:rsid w:val="00EF3405"/>
    <w:rsid w:val="00F42FFD"/>
    <w:rsid w:val="00F50C7D"/>
    <w:rsid w:val="00F644A7"/>
    <w:rsid w:val="00F66C2E"/>
    <w:rsid w:val="00FA6CD2"/>
    <w:rsid w:val="00FC7088"/>
    <w:rsid w:val="00FD1E1A"/>
    <w:rsid w:val="00FF5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03B3"/>
  <w15:docId w15:val="{E55B69A0-E450-4F02-AB39-EB3077F1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6F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646FC"/>
    <w:pPr>
      <w:keepNext/>
      <w:jc w:val="center"/>
      <w:outlineLvl w:val="0"/>
    </w:pPr>
    <w:rPr>
      <w:b/>
      <w:bCs/>
    </w:rPr>
  </w:style>
  <w:style w:type="paragraph" w:styleId="2">
    <w:name w:val="heading 2"/>
    <w:basedOn w:val="a"/>
    <w:next w:val="a"/>
    <w:link w:val="20"/>
    <w:qFormat/>
    <w:rsid w:val="000646FC"/>
    <w:pPr>
      <w:keepNext/>
      <w:outlineLvl w:val="1"/>
    </w:pPr>
    <w:rPr>
      <w:sz w:val="28"/>
    </w:rPr>
  </w:style>
  <w:style w:type="paragraph" w:styleId="3">
    <w:name w:val="heading 3"/>
    <w:basedOn w:val="a"/>
    <w:next w:val="a"/>
    <w:link w:val="30"/>
    <w:qFormat/>
    <w:rsid w:val="000646FC"/>
    <w:pPr>
      <w:keepNext/>
      <w:ind w:firstLine="360"/>
      <w:jc w:val="righ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46FC"/>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0646FC"/>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0646FC"/>
    <w:rPr>
      <w:rFonts w:ascii="Times New Roman" w:eastAsia="Times New Roman" w:hAnsi="Times New Roman" w:cs="Times New Roman"/>
      <w:b/>
      <w:bCs/>
      <w:sz w:val="28"/>
      <w:szCs w:val="24"/>
      <w:lang w:eastAsia="ru-RU"/>
    </w:rPr>
  </w:style>
  <w:style w:type="paragraph" w:styleId="a3">
    <w:name w:val="Title"/>
    <w:basedOn w:val="a"/>
    <w:link w:val="a4"/>
    <w:qFormat/>
    <w:rsid w:val="000646FC"/>
    <w:pPr>
      <w:jc w:val="center"/>
    </w:pPr>
    <w:rPr>
      <w:sz w:val="28"/>
    </w:rPr>
  </w:style>
  <w:style w:type="character" w:customStyle="1" w:styleId="a4">
    <w:name w:val="Заголовок Знак"/>
    <w:basedOn w:val="a0"/>
    <w:link w:val="a3"/>
    <w:rsid w:val="000646FC"/>
    <w:rPr>
      <w:rFonts w:ascii="Times New Roman" w:eastAsia="Times New Roman" w:hAnsi="Times New Roman" w:cs="Times New Roman"/>
      <w:sz w:val="28"/>
      <w:szCs w:val="24"/>
      <w:lang w:eastAsia="ru-RU"/>
    </w:rPr>
  </w:style>
  <w:style w:type="paragraph" w:styleId="a5">
    <w:name w:val="Body Text Indent"/>
    <w:basedOn w:val="a"/>
    <w:link w:val="a6"/>
    <w:rsid w:val="000646FC"/>
    <w:pPr>
      <w:ind w:left="-12" w:firstLine="720"/>
      <w:jc w:val="both"/>
    </w:pPr>
    <w:rPr>
      <w:sz w:val="26"/>
    </w:rPr>
  </w:style>
  <w:style w:type="character" w:customStyle="1" w:styleId="a6">
    <w:name w:val="Основной текст с отступом Знак"/>
    <w:basedOn w:val="a0"/>
    <w:link w:val="a5"/>
    <w:rsid w:val="000646FC"/>
    <w:rPr>
      <w:rFonts w:ascii="Times New Roman" w:eastAsia="Times New Roman" w:hAnsi="Times New Roman" w:cs="Times New Roman"/>
      <w:sz w:val="26"/>
      <w:szCs w:val="24"/>
      <w:lang w:eastAsia="ru-RU"/>
    </w:rPr>
  </w:style>
  <w:style w:type="paragraph" w:styleId="21">
    <w:name w:val="Body Text Indent 2"/>
    <w:basedOn w:val="a"/>
    <w:link w:val="22"/>
    <w:rsid w:val="000646FC"/>
    <w:pPr>
      <w:ind w:firstLine="795"/>
      <w:jc w:val="both"/>
    </w:pPr>
  </w:style>
  <w:style w:type="character" w:customStyle="1" w:styleId="22">
    <w:name w:val="Основной текст с отступом 2 Знак"/>
    <w:basedOn w:val="a0"/>
    <w:link w:val="21"/>
    <w:rsid w:val="000646FC"/>
    <w:rPr>
      <w:rFonts w:ascii="Times New Roman" w:eastAsia="Times New Roman" w:hAnsi="Times New Roman" w:cs="Times New Roman"/>
      <w:sz w:val="24"/>
      <w:szCs w:val="24"/>
      <w:lang w:eastAsia="ru-RU"/>
    </w:rPr>
  </w:style>
  <w:style w:type="character" w:styleId="a7">
    <w:name w:val="Hyperlink"/>
    <w:basedOn w:val="a0"/>
    <w:uiPriority w:val="99"/>
    <w:unhideWhenUsed/>
    <w:rsid w:val="006D79A1"/>
    <w:rPr>
      <w:color w:val="0000FF" w:themeColor="hyperlink"/>
      <w:u w:val="single"/>
    </w:rPr>
  </w:style>
  <w:style w:type="character" w:styleId="a8">
    <w:name w:val="FollowedHyperlink"/>
    <w:basedOn w:val="a0"/>
    <w:uiPriority w:val="99"/>
    <w:semiHidden/>
    <w:unhideWhenUsed/>
    <w:rsid w:val="00871AF7"/>
    <w:rPr>
      <w:color w:val="800080" w:themeColor="followedHyperlink"/>
      <w:u w:val="single"/>
    </w:rPr>
  </w:style>
  <w:style w:type="paragraph" w:styleId="a9">
    <w:name w:val="Balloon Text"/>
    <w:basedOn w:val="a"/>
    <w:link w:val="aa"/>
    <w:uiPriority w:val="99"/>
    <w:semiHidden/>
    <w:unhideWhenUsed/>
    <w:rsid w:val="00B756C7"/>
    <w:rPr>
      <w:rFonts w:ascii="Tahoma" w:hAnsi="Tahoma" w:cs="Tahoma"/>
      <w:sz w:val="16"/>
      <w:szCs w:val="16"/>
    </w:rPr>
  </w:style>
  <w:style w:type="character" w:customStyle="1" w:styleId="aa">
    <w:name w:val="Текст выноски Знак"/>
    <w:basedOn w:val="a0"/>
    <w:link w:val="a9"/>
    <w:uiPriority w:val="99"/>
    <w:semiHidden/>
    <w:rsid w:val="00B756C7"/>
    <w:rPr>
      <w:rFonts w:ascii="Tahoma" w:eastAsia="Times New Roman" w:hAnsi="Tahoma" w:cs="Tahoma"/>
      <w:sz w:val="16"/>
      <w:szCs w:val="16"/>
      <w:lang w:eastAsia="ru-RU"/>
    </w:rPr>
  </w:style>
  <w:style w:type="paragraph" w:styleId="ab">
    <w:name w:val="List Paragraph"/>
    <w:basedOn w:val="a"/>
    <w:uiPriority w:val="34"/>
    <w:qFormat/>
    <w:rsid w:val="00DB1E58"/>
    <w:pPr>
      <w:ind w:left="720"/>
      <w:contextualSpacing/>
    </w:pPr>
  </w:style>
  <w:style w:type="character" w:styleId="ac">
    <w:name w:val="Strong"/>
    <w:basedOn w:val="a0"/>
    <w:uiPriority w:val="22"/>
    <w:qFormat/>
    <w:rsid w:val="000A5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467">
      <w:bodyDiv w:val="1"/>
      <w:marLeft w:val="0"/>
      <w:marRight w:val="0"/>
      <w:marTop w:val="0"/>
      <w:marBottom w:val="0"/>
      <w:divBdr>
        <w:top w:val="none" w:sz="0" w:space="0" w:color="auto"/>
        <w:left w:val="none" w:sz="0" w:space="0" w:color="auto"/>
        <w:bottom w:val="none" w:sz="0" w:space="0" w:color="auto"/>
        <w:right w:val="none" w:sz="0" w:space="0" w:color="auto"/>
      </w:divBdr>
    </w:div>
    <w:div w:id="125516551">
      <w:bodyDiv w:val="1"/>
      <w:marLeft w:val="0"/>
      <w:marRight w:val="0"/>
      <w:marTop w:val="0"/>
      <w:marBottom w:val="0"/>
      <w:divBdr>
        <w:top w:val="none" w:sz="0" w:space="0" w:color="auto"/>
        <w:left w:val="none" w:sz="0" w:space="0" w:color="auto"/>
        <w:bottom w:val="none" w:sz="0" w:space="0" w:color="auto"/>
        <w:right w:val="none" w:sz="0" w:space="0" w:color="auto"/>
      </w:divBdr>
    </w:div>
    <w:div w:id="629239407">
      <w:bodyDiv w:val="1"/>
      <w:marLeft w:val="0"/>
      <w:marRight w:val="0"/>
      <w:marTop w:val="0"/>
      <w:marBottom w:val="0"/>
      <w:divBdr>
        <w:top w:val="none" w:sz="0" w:space="0" w:color="auto"/>
        <w:left w:val="none" w:sz="0" w:space="0" w:color="auto"/>
        <w:bottom w:val="none" w:sz="0" w:space="0" w:color="auto"/>
        <w:right w:val="none" w:sz="0" w:space="0" w:color="auto"/>
      </w:divBdr>
    </w:div>
    <w:div w:id="143937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6D335-6825-4B8D-B300-58EABAB3E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Юрьевич Грабовенко</dc:creator>
  <cp:lastModifiedBy>Ксения Алексеевна Трушина</cp:lastModifiedBy>
  <cp:revision>2</cp:revision>
  <cp:lastPrinted>2024-01-09T13:02:00Z</cp:lastPrinted>
  <dcterms:created xsi:type="dcterms:W3CDTF">2024-01-16T12:04:00Z</dcterms:created>
  <dcterms:modified xsi:type="dcterms:W3CDTF">2024-01-16T12:04:00Z</dcterms:modified>
</cp:coreProperties>
</file>