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FA6834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37.05.01 Клиническая психология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5C6C1F">
        <w:rPr>
          <w:b/>
          <w:bCs/>
        </w:rPr>
        <w:t>Патопсихологическая диагностика и психотерапия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="00FA6834">
        <w:rPr>
          <w:b/>
          <w:bCs/>
        </w:rPr>
        <w:t>Специалист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  <w:bookmarkStart w:id="6" w:name="_GoBack"/>
      <w:bookmarkEnd w:id="6"/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="00FA6834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 xml:space="preserve">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454DCF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FA6834">
        <w:rPr>
          <w:lang w:eastAsia="en-US"/>
        </w:rPr>
        <w:t>37.05.01 Клиническая психология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от </w:t>
      </w:r>
      <w:r w:rsidR="00FA6834" w:rsidRPr="00FA6834">
        <w:rPr>
          <w:lang w:eastAsia="en-US"/>
        </w:rPr>
        <w:t xml:space="preserve">26 мая 2020 г. N 683 </w:t>
      </w:r>
      <w:r w:rsidRPr="00D738A5">
        <w:rPr>
          <w:lang w:eastAsia="en-US"/>
        </w:rPr>
        <w:t xml:space="preserve">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FC0108" w:rsidRPr="00D738A5">
        <w:rPr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FA6834" w:rsidRPr="00FA6834">
        <w:rPr>
          <w:lang w:eastAsia="en-US"/>
        </w:rPr>
        <w:t xml:space="preserve">26 мая 2020 г. N 683 </w:t>
      </w:r>
      <w:r w:rsidR="00FC0108" w:rsidRPr="00D738A5">
        <w:rPr>
          <w:lang w:eastAsia="en-US"/>
        </w:rPr>
        <w:t>(далее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lastRenderedPageBreak/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="00FA6834">
        <w:rPr>
          <w:sz w:val="24"/>
          <w:szCs w:val="24"/>
          <w:lang w:eastAsia="ru-RU"/>
        </w:rPr>
        <w:t>специалитета</w:t>
      </w:r>
      <w:proofErr w:type="spellEnd"/>
      <w:r w:rsidRPr="00D738A5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01 Образование и наука</w:t>
      </w:r>
    </w:p>
    <w:p w:rsidR="00D441D0" w:rsidRPr="00D738A5" w:rsidRDefault="00D441D0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03 Социальное обслуживание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FA6834">
        <w:t>37.05.01 Клиническая психология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</w:p>
          <w:p w:rsidR="00FC2059" w:rsidRPr="00D738A5" w:rsidRDefault="00D441D0" w:rsidP="000660E1">
            <w:pPr>
              <w:jc w:val="both"/>
            </w:pPr>
            <w:r>
              <w:t>01.002</w:t>
            </w:r>
          </w:p>
        </w:tc>
        <w:tc>
          <w:tcPr>
            <w:tcW w:w="6656" w:type="dxa"/>
          </w:tcPr>
          <w:p w:rsidR="00FC2059" w:rsidRPr="00D738A5" w:rsidRDefault="00293A55" w:rsidP="00293A55">
            <w:pPr>
              <w:jc w:val="both"/>
            </w:pPr>
            <w:r>
              <w:t>Профессиональный стандарт "Педагог-психолог (психолог в сфере образования)", утвержденный приказом Министерства труда и социальной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</w:t>
            </w:r>
          </w:p>
        </w:tc>
      </w:tr>
      <w:tr w:rsidR="00D441D0" w:rsidRPr="00D738A5" w:rsidTr="000660E1">
        <w:tc>
          <w:tcPr>
            <w:tcW w:w="2689" w:type="dxa"/>
          </w:tcPr>
          <w:p w:rsidR="00D441D0" w:rsidRPr="00D738A5" w:rsidRDefault="00D441D0" w:rsidP="000660E1">
            <w:pPr>
              <w:jc w:val="both"/>
            </w:pPr>
            <w:r>
              <w:t>03.008</w:t>
            </w:r>
          </w:p>
        </w:tc>
        <w:tc>
          <w:tcPr>
            <w:tcW w:w="6656" w:type="dxa"/>
          </w:tcPr>
          <w:p w:rsidR="00293A55" w:rsidRDefault="00293A55" w:rsidP="00293A55">
            <w:pPr>
              <w:jc w:val="both"/>
            </w:pPr>
            <w:r>
              <w:t>Профессиональный стандарт "Психолог в социальной сфере",</w:t>
            </w:r>
          </w:p>
          <w:p w:rsidR="00D441D0" w:rsidRPr="00D738A5" w:rsidRDefault="00293A55" w:rsidP="00293A55">
            <w:pPr>
              <w:jc w:val="both"/>
            </w:pPr>
            <w:r>
              <w:t>утвержденный приказом Министерства труда и социальной защиты Российской Федерации от 18 ноября 2013 г. N 682н (зарегистрирован Министерством юстиции Российской Федерации 25 декабря 2013 г., регистрационный N 30840)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4B335B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</w:t>
      </w:r>
      <w:proofErr w:type="spellStart"/>
      <w:r w:rsidR="00FA6834">
        <w:t>специалитета</w:t>
      </w:r>
      <w:proofErr w:type="spellEnd"/>
      <w:r w:rsidRPr="00D738A5">
        <w:t xml:space="preserve"> </w:t>
      </w:r>
      <w:r w:rsidR="00FA6834">
        <w:t>37.05.01 Клиническая психология</w:t>
      </w:r>
      <w:r w:rsidR="00454DCF" w:rsidRPr="00D738A5">
        <w:t xml:space="preserve">, направленность (профиль) </w:t>
      </w:r>
      <w:r w:rsidR="005C6C1F">
        <w:t>Патопсихологическая диагностика и психотерапия</w:t>
      </w:r>
      <w:r w:rsidR="00454DCF" w:rsidRPr="00D738A5">
        <w:t xml:space="preserve"> </w:t>
      </w:r>
      <w:r w:rsidRPr="00D738A5">
        <w:t xml:space="preserve">соответствует направлению подготовки в целом и конкретизирует содержание основной образовательной программы </w:t>
      </w:r>
      <w:proofErr w:type="spellStart"/>
      <w:r w:rsidR="00FA6834">
        <w:t>специалитета</w:t>
      </w:r>
      <w:proofErr w:type="spellEnd"/>
      <w:r w:rsidRPr="00D738A5">
        <w:t xml:space="preserve"> на область </w:t>
      </w:r>
      <w:r w:rsidR="00FC0108" w:rsidRPr="00D738A5">
        <w:t>01 Образование и наука</w:t>
      </w:r>
      <w:r w:rsidRPr="00D738A5">
        <w:t>,</w:t>
      </w:r>
      <w:r w:rsidR="00902511" w:rsidRPr="00D738A5">
        <w:t xml:space="preserve">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="00D441D0">
        <w:t xml:space="preserve">, </w:t>
      </w:r>
      <w:r w:rsidRPr="00D738A5">
        <w:t xml:space="preserve"> </w:t>
      </w:r>
      <w:r w:rsidR="00D441D0">
        <w:t xml:space="preserve">03 Социальное обслуживание (в сферах: психологического сопровождения представителей социально </w:t>
      </w:r>
      <w:r w:rsidR="00D441D0">
        <w:lastRenderedPageBreak/>
        <w:t>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  <w:r w:rsidR="00FC0108" w:rsidRPr="00D738A5">
        <w:t>и тип</w:t>
      </w:r>
      <w:r w:rsidR="00D441D0">
        <w:t>ы</w:t>
      </w:r>
      <w:r w:rsidRPr="00D738A5">
        <w:t xml:space="preserve"> задач профессиональной деятельности </w:t>
      </w:r>
      <w:r w:rsidR="00FC0108" w:rsidRPr="00D738A5">
        <w:t xml:space="preserve">– </w:t>
      </w:r>
      <w:r w:rsidR="009E4B35">
        <w:t xml:space="preserve">психодиагностический, консультативный и психотерапевтический, </w:t>
      </w:r>
      <w:r w:rsidR="004B335B">
        <w:t>экспертный, педагогический, организационно-управленческий, проектно-инновационный, научно-исследовательский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4B335B">
        <w:rPr>
          <w:b/>
        </w:rPr>
        <w:t>37.05.01 КЛИНИЧЕСКАЯ ПСИХОЛОГИЯ</w:t>
      </w:r>
      <w:r w:rsidR="004B335B" w:rsidRPr="00D738A5">
        <w:rPr>
          <w:b/>
        </w:rPr>
        <w:t xml:space="preserve">, НАПРАВЛЕННОСТЬ (ПРОФИЛЬ) </w:t>
      </w:r>
      <w:r w:rsidR="005C6C1F">
        <w:rPr>
          <w:b/>
        </w:rPr>
        <w:t>ПАТОПСИХОЛОГИЧЕСКАЯ ДИАГНОСТИКА И ПСИХОТЕРАПИЯ</w:t>
      </w:r>
      <w:r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 xml:space="preserve">Квалификация выпускника – </w:t>
      </w:r>
      <w:r w:rsidR="0055724D">
        <w:t>специалист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</w:t>
      </w:r>
      <w:proofErr w:type="spellStart"/>
      <w:r w:rsidR="00FA6834">
        <w:t>специалитета</w:t>
      </w:r>
      <w:proofErr w:type="spellEnd"/>
      <w:r w:rsidRPr="00D738A5">
        <w:t xml:space="preserve"> составляет </w:t>
      </w:r>
      <w:r w:rsidR="00FA6834">
        <w:t>33</w:t>
      </w:r>
      <w:r w:rsidR="00FC0108" w:rsidRPr="00D738A5">
        <w:t>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 с использованием сетевой формы,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 по индивидуальному учебному плану.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</w:t>
      </w:r>
      <w:proofErr w:type="spellStart"/>
      <w:r w:rsidR="00FA6834">
        <w:t>специалитета</w:t>
      </w:r>
      <w:proofErr w:type="spellEnd"/>
      <w:r w:rsidRPr="00D738A5">
        <w:t xml:space="preserve"> за один учебный год составляет не более </w:t>
      </w:r>
      <w:r w:rsidR="00FA6834">
        <w:t>60</w:t>
      </w:r>
      <w:r w:rsidRPr="00D738A5">
        <w:t xml:space="preserve"> </w:t>
      </w:r>
      <w:proofErr w:type="spellStart"/>
      <w:r w:rsidRPr="00D738A5">
        <w:t>з.е</w:t>
      </w:r>
      <w:proofErr w:type="spellEnd"/>
      <w:r w:rsidRPr="00D738A5"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</w:t>
      </w:r>
      <w:r w:rsidR="00FA6834">
        <w:t>75</w:t>
      </w:r>
      <w:r w:rsidRPr="00D738A5">
        <w:t xml:space="preserve"> </w:t>
      </w:r>
      <w:proofErr w:type="spellStart"/>
      <w:r w:rsidRPr="00D738A5">
        <w:t>з.е</w:t>
      </w:r>
      <w:proofErr w:type="spellEnd"/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Срок получения образования по программе </w:t>
      </w:r>
      <w:proofErr w:type="spellStart"/>
      <w:r w:rsidR="00FA6834">
        <w:t>специалитета</w:t>
      </w:r>
      <w:proofErr w:type="spellEnd"/>
      <w:r w:rsidRPr="00D738A5">
        <w:t>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FC0108" w:rsidRPr="00D738A5">
        <w:t>5</w:t>
      </w:r>
      <w:r w:rsidR="00FA6834">
        <w:t>,5</w:t>
      </w:r>
      <w:r w:rsidR="00FC0108" w:rsidRPr="00D738A5">
        <w:t xml:space="preserve"> лет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55724D" w:rsidRDefault="0055724D" w:rsidP="0055724D">
      <w:pPr>
        <w:widowControl w:val="0"/>
        <w:ind w:firstLine="720"/>
        <w:jc w:val="both"/>
      </w:pPr>
      <w:r>
        <w:t xml:space="preserve">Организация самостоятельно определяет в пределах сроков и объемов, установленных пунктами 1.8 и 1.9 ФГОС ВО: срок получения образования по программе </w:t>
      </w:r>
      <w:proofErr w:type="spellStart"/>
      <w:r>
        <w:t>специалитета</w:t>
      </w:r>
      <w:proofErr w:type="spellEnd"/>
      <w:r>
        <w:t xml:space="preserve"> по индивидуальному учебному плану, в том числе при ускоренном обучении;</w:t>
      </w:r>
    </w:p>
    <w:p w:rsidR="0055724D" w:rsidRDefault="0055724D" w:rsidP="0055724D">
      <w:pPr>
        <w:widowControl w:val="0"/>
        <w:jc w:val="both"/>
      </w:pPr>
      <w:r>
        <w:t xml:space="preserve">объем программы </w:t>
      </w:r>
      <w:proofErr w:type="spellStart"/>
      <w:r>
        <w:t>специалитета</w:t>
      </w:r>
      <w:proofErr w:type="spellEnd"/>
      <w:r>
        <w:t>, реализуемый за один учебный год.</w:t>
      </w:r>
    </w:p>
    <w:p w:rsidR="00FC2059" w:rsidRPr="00D738A5" w:rsidRDefault="00FC2059" w:rsidP="0055724D">
      <w:pPr>
        <w:widowControl w:val="0"/>
        <w:ind w:firstLine="708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FC0108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 xml:space="preserve">выпускник, освоивший программу </w:t>
      </w:r>
      <w:proofErr w:type="spellStart"/>
      <w:r w:rsidR="00FA6834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D738A5" w:rsidTr="00FC2059">
        <w:tc>
          <w:tcPr>
            <w:tcW w:w="297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D738A5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D738A5">
              <w:rPr>
                <w:b/>
                <w:bCs/>
              </w:rPr>
              <w:t>Код и наименование компетенции</w:t>
            </w:r>
          </w:p>
        </w:tc>
      </w:tr>
      <w:tr w:rsidR="00E976B6" w:rsidRPr="00E976B6" w:rsidTr="00FC2059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lastRenderedPageBreak/>
              <w:t>Системное и критическое мышление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УК-1</w:t>
            </w:r>
          </w:p>
          <w:p w:rsidR="00E976B6" w:rsidRPr="00E976B6" w:rsidRDefault="00E976B6" w:rsidP="00E976B6">
            <w:pPr>
              <w:rPr>
                <w:b/>
              </w:rPr>
            </w:pPr>
            <w:r w:rsidRPr="00E976B6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Разработка и реализация проектов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УК-2</w:t>
            </w:r>
          </w:p>
          <w:p w:rsidR="00E976B6" w:rsidRPr="00E976B6" w:rsidRDefault="00E976B6" w:rsidP="00E976B6">
            <w:pPr>
              <w:rPr>
                <w:b/>
              </w:rPr>
            </w:pPr>
            <w:r w:rsidRPr="00E976B6">
              <w:t>Способен управлять проектом на всех этапах его жизненного цикла</w:t>
            </w:r>
          </w:p>
        </w:tc>
      </w:tr>
      <w:tr w:rsidR="00E976B6" w:rsidRPr="00E976B6" w:rsidTr="00E26122">
        <w:trPr>
          <w:trHeight w:val="542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Командная работа и лидерство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УК-3</w:t>
            </w:r>
          </w:p>
          <w:p w:rsidR="00E976B6" w:rsidRPr="00E976B6" w:rsidRDefault="00E976B6" w:rsidP="00E976B6">
            <w:r w:rsidRPr="00E976B6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976B6" w:rsidRPr="00E976B6" w:rsidTr="00FC2059">
        <w:trPr>
          <w:trHeight w:val="980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Коммуникация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УК-4</w:t>
            </w:r>
          </w:p>
          <w:p w:rsidR="00E976B6" w:rsidRPr="00E976B6" w:rsidRDefault="00E976B6" w:rsidP="00E976B6">
            <w:r w:rsidRPr="00E976B6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E976B6">
              <w:t>ых</w:t>
            </w:r>
            <w:proofErr w:type="spellEnd"/>
            <w:r w:rsidRPr="00E976B6">
              <w:t>) языке(ах), для академического и профессионального взаимодействия</w:t>
            </w:r>
          </w:p>
        </w:tc>
      </w:tr>
      <w:tr w:rsidR="00E976B6" w:rsidRPr="00E976B6" w:rsidTr="00FC2059">
        <w:trPr>
          <w:trHeight w:val="843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Межкультурное взаимодействие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УК-5</w:t>
            </w:r>
          </w:p>
          <w:p w:rsidR="00E976B6" w:rsidRPr="00E976B6" w:rsidRDefault="00E976B6" w:rsidP="00E976B6">
            <w:r w:rsidRPr="00E976B6"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976B6" w:rsidRPr="00E976B6" w:rsidTr="00E26122">
        <w:trPr>
          <w:trHeight w:val="844"/>
        </w:trPr>
        <w:tc>
          <w:tcPr>
            <w:tcW w:w="2972" w:type="dxa"/>
            <w:vMerge w:val="restart"/>
          </w:tcPr>
          <w:p w:rsidR="00E976B6" w:rsidRPr="00E976B6" w:rsidRDefault="00E976B6" w:rsidP="00E976B6">
            <w:r w:rsidRPr="00E976B6">
              <w:t xml:space="preserve">Самоорганизация и саморазвитие (в том числе </w:t>
            </w:r>
            <w:proofErr w:type="spellStart"/>
            <w:r w:rsidRPr="00E976B6">
              <w:t>здоровьесбережение</w:t>
            </w:r>
            <w:proofErr w:type="spellEnd"/>
            <w:r w:rsidRPr="00E976B6">
              <w:t>)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УК-6</w:t>
            </w:r>
          </w:p>
          <w:p w:rsidR="00E976B6" w:rsidRPr="00E976B6" w:rsidRDefault="00E976B6" w:rsidP="00E976B6">
            <w:r w:rsidRPr="00E976B6"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E976B6" w:rsidRPr="00E976B6" w:rsidTr="00E26122">
        <w:trPr>
          <w:trHeight w:val="687"/>
        </w:trPr>
        <w:tc>
          <w:tcPr>
            <w:tcW w:w="2972" w:type="dxa"/>
            <w:vMerge/>
          </w:tcPr>
          <w:p w:rsidR="00E976B6" w:rsidRPr="00E976B6" w:rsidRDefault="00E976B6" w:rsidP="00E976B6">
            <w:pPr>
              <w:contextualSpacing/>
            </w:pP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УК-7</w:t>
            </w:r>
          </w:p>
          <w:p w:rsidR="00E976B6" w:rsidRPr="00E976B6" w:rsidRDefault="00E976B6" w:rsidP="00E976B6">
            <w:pPr>
              <w:contextualSpacing/>
            </w:pPr>
            <w:r w:rsidRPr="00E976B6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976B6" w:rsidRPr="00E976B6" w:rsidTr="00E26122">
        <w:trPr>
          <w:trHeight w:val="1409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Безопасность жизнедеятельности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УК-8</w:t>
            </w:r>
          </w:p>
          <w:p w:rsidR="00E976B6" w:rsidRPr="00E976B6" w:rsidRDefault="00E976B6" w:rsidP="00E976B6">
            <w:r w:rsidRPr="00E976B6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Инклюзивная компетентность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УК-9</w:t>
            </w:r>
          </w:p>
          <w:p w:rsidR="00E976B6" w:rsidRPr="00E976B6" w:rsidRDefault="00E976B6" w:rsidP="00E976B6">
            <w:r w:rsidRPr="00E976B6"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E976B6" w:rsidRPr="00E976B6" w:rsidTr="00FC2059">
        <w:trPr>
          <w:trHeight w:val="276"/>
        </w:trPr>
        <w:tc>
          <w:tcPr>
            <w:tcW w:w="2972" w:type="dxa"/>
            <w:vMerge w:val="restart"/>
          </w:tcPr>
          <w:p w:rsidR="00E976B6" w:rsidRPr="00E976B6" w:rsidRDefault="00E976B6" w:rsidP="00E976B6">
            <w:r w:rsidRPr="00E976B6">
              <w:t>Экономическая культура, в том числе финансовая грамотность</w:t>
            </w:r>
          </w:p>
          <w:p w:rsidR="00E976B6" w:rsidRPr="00E976B6" w:rsidRDefault="00E976B6" w:rsidP="00E976B6">
            <w:r w:rsidRPr="00E976B6">
              <w:t>Гражданская позиция</w:t>
            </w:r>
          </w:p>
        </w:tc>
        <w:tc>
          <w:tcPr>
            <w:tcW w:w="6662" w:type="dxa"/>
            <w:vMerge w:val="restart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УК-10</w:t>
            </w:r>
          </w:p>
          <w:p w:rsidR="00E976B6" w:rsidRPr="00E976B6" w:rsidRDefault="00E976B6" w:rsidP="00E976B6">
            <w:r w:rsidRPr="00E976B6">
              <w:t>Способен принимать обоснованные экономические решения в различных областях жизнедеятельности</w:t>
            </w:r>
          </w:p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УК-11</w:t>
            </w:r>
          </w:p>
          <w:p w:rsidR="00E976B6" w:rsidRPr="00E976B6" w:rsidRDefault="00E976B6" w:rsidP="00E976B6">
            <w:r w:rsidRPr="00E976B6">
              <w:t>Способен формировать нетерпимое отношение к коррупционному поведению</w:t>
            </w:r>
          </w:p>
        </w:tc>
      </w:tr>
      <w:tr w:rsidR="00E976B6" w:rsidRPr="00E976B6" w:rsidTr="00FC2059">
        <w:trPr>
          <w:trHeight w:val="322"/>
        </w:trPr>
        <w:tc>
          <w:tcPr>
            <w:tcW w:w="2972" w:type="dxa"/>
            <w:vMerge/>
          </w:tcPr>
          <w:p w:rsidR="00E976B6" w:rsidRPr="00E976B6" w:rsidRDefault="00E976B6" w:rsidP="00E976B6">
            <w:pPr>
              <w:contextualSpacing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E976B6" w:rsidRPr="00E976B6" w:rsidRDefault="00E976B6" w:rsidP="00E976B6">
            <w:pPr>
              <w:contextualSpacing/>
              <w:rPr>
                <w:kern w:val="1"/>
              </w:rPr>
            </w:pP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  <w:vMerge w:val="restart"/>
          </w:tcPr>
          <w:p w:rsidR="00E976B6" w:rsidRPr="00E976B6" w:rsidRDefault="00E976B6" w:rsidP="00E976B6">
            <w:r w:rsidRPr="00E976B6">
              <w:t>Исследование и оценка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ОПК-1</w:t>
            </w:r>
          </w:p>
          <w:p w:rsidR="00E976B6" w:rsidRPr="00E976B6" w:rsidRDefault="00E976B6" w:rsidP="00E976B6">
            <w:r w:rsidRPr="00E976B6"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  <w:vMerge/>
          </w:tcPr>
          <w:p w:rsidR="00E976B6" w:rsidRPr="00E976B6" w:rsidRDefault="00E976B6" w:rsidP="00E976B6"/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ОПК-2</w:t>
            </w:r>
          </w:p>
          <w:p w:rsidR="00E976B6" w:rsidRPr="00E976B6" w:rsidRDefault="00E976B6" w:rsidP="00E976B6">
            <w:r w:rsidRPr="00E976B6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  <w:vMerge w:val="restart"/>
          </w:tcPr>
          <w:p w:rsidR="00E976B6" w:rsidRPr="00E976B6" w:rsidRDefault="00E976B6" w:rsidP="00E976B6">
            <w:r w:rsidRPr="00E976B6">
              <w:lastRenderedPageBreak/>
              <w:t>Психологическая оценка, диагностика и экспертиза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ОПК-3</w:t>
            </w:r>
          </w:p>
          <w:p w:rsidR="00E976B6" w:rsidRPr="00E976B6" w:rsidRDefault="00E976B6" w:rsidP="00E976B6">
            <w:r w:rsidRPr="00E976B6"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</w:tr>
      <w:tr w:rsidR="00E976B6" w:rsidRPr="00E976B6" w:rsidTr="00902511">
        <w:trPr>
          <w:trHeight w:val="848"/>
        </w:trPr>
        <w:tc>
          <w:tcPr>
            <w:tcW w:w="2972" w:type="dxa"/>
            <w:vMerge/>
          </w:tcPr>
          <w:p w:rsidR="00E976B6" w:rsidRPr="00E976B6" w:rsidRDefault="00E976B6" w:rsidP="00E976B6"/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ОПК-4</w:t>
            </w:r>
          </w:p>
          <w:p w:rsidR="00E976B6" w:rsidRPr="00E976B6" w:rsidRDefault="00E976B6" w:rsidP="00E976B6">
            <w:r w:rsidRPr="00E976B6"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</w:tr>
      <w:tr w:rsidR="00E976B6" w:rsidRPr="00E976B6" w:rsidTr="00902511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Психологическое вмешательство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ОПК-5</w:t>
            </w:r>
          </w:p>
          <w:p w:rsidR="00E976B6" w:rsidRPr="00E976B6" w:rsidRDefault="00E976B6" w:rsidP="00E976B6">
            <w:r w:rsidRPr="00E976B6">
              <w:t xml:space="preserve"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</w:t>
            </w:r>
            <w:proofErr w:type="spellStart"/>
            <w:r w:rsidRPr="00E976B6">
              <w:t>ОВЗ</w:t>
            </w:r>
            <w:proofErr w:type="spellEnd"/>
          </w:p>
        </w:tc>
      </w:tr>
      <w:tr w:rsidR="00E976B6" w:rsidRPr="00E976B6" w:rsidTr="00902511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Психологическое консультирование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ОПК-6</w:t>
            </w:r>
          </w:p>
          <w:p w:rsidR="00E976B6" w:rsidRPr="00E976B6" w:rsidRDefault="00E976B6" w:rsidP="00E976B6">
            <w:r w:rsidRPr="00E976B6">
              <w:t xml:space="preserve"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</w:t>
            </w:r>
            <w:proofErr w:type="spellStart"/>
            <w:r w:rsidRPr="00E976B6">
              <w:t>неврачебной</w:t>
            </w:r>
            <w:proofErr w:type="spellEnd"/>
            <w:r w:rsidRPr="00E976B6">
              <w:t xml:space="preserve"> психотерапии как виду профессиональной деятельности клинического психолога</w:t>
            </w:r>
          </w:p>
        </w:tc>
      </w:tr>
      <w:tr w:rsidR="00E976B6" w:rsidRPr="00E976B6" w:rsidTr="00902511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Администрирование (организация и управление)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ОПК-7</w:t>
            </w:r>
          </w:p>
          <w:p w:rsidR="00E976B6" w:rsidRPr="00E976B6" w:rsidRDefault="00E976B6" w:rsidP="00E976B6">
            <w:r w:rsidRPr="00E976B6"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</w:tr>
      <w:tr w:rsidR="00E976B6" w:rsidRPr="00E976B6" w:rsidTr="00902511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Преподавание (обучение)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ОПК-8</w:t>
            </w:r>
          </w:p>
          <w:p w:rsidR="00E976B6" w:rsidRPr="00E976B6" w:rsidRDefault="00E976B6" w:rsidP="00E976B6">
            <w:r w:rsidRPr="00E976B6">
              <w:t xml:space="preserve">Способен разрабатывать и реализовывать программы обучения основам клинической психологии и психологии здоровья, в том числе </w:t>
            </w:r>
            <w:proofErr w:type="spellStart"/>
            <w:r w:rsidRPr="00E976B6">
              <w:t>здоровьесберегающим</w:t>
            </w:r>
            <w:proofErr w:type="spellEnd"/>
            <w:r w:rsidRPr="00E976B6">
              <w:t xml:space="preserve">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</w:t>
            </w:r>
            <w:proofErr w:type="spellStart"/>
            <w:r w:rsidRPr="00E976B6">
              <w:t>ОВЗ</w:t>
            </w:r>
            <w:proofErr w:type="spellEnd"/>
            <w:r w:rsidRPr="00E976B6">
              <w:t>), включая инклюзивное образование</w:t>
            </w: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t>Психологическая профилактика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ОПК-9</w:t>
            </w:r>
          </w:p>
          <w:p w:rsidR="00E976B6" w:rsidRPr="00E976B6" w:rsidRDefault="00E976B6" w:rsidP="00E976B6">
            <w:r w:rsidRPr="00E976B6">
              <w:t>Способен осуществлять психолого-профилактическую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социально-и индивидуально значимых проблем и задач в сфере охраны здоровья и смежных с ней областей</w:t>
            </w:r>
            <w:r>
              <w:t xml:space="preserve"> </w:t>
            </w: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proofErr w:type="spellStart"/>
            <w:r w:rsidRPr="00E976B6">
              <w:t>Супервизия</w:t>
            </w:r>
            <w:proofErr w:type="spellEnd"/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ОПК-10</w:t>
            </w:r>
          </w:p>
          <w:p w:rsidR="00E976B6" w:rsidRPr="00E976B6" w:rsidRDefault="00E976B6" w:rsidP="00E976B6">
            <w:r w:rsidRPr="00E976B6">
              <w:t xml:space="preserve">Способен использовать системные модели и методы, способы и приемы </w:t>
            </w:r>
            <w:proofErr w:type="spellStart"/>
            <w:r w:rsidRPr="00E976B6">
              <w:t>супервизии</w:t>
            </w:r>
            <w:proofErr w:type="spellEnd"/>
            <w:r w:rsidRPr="00E976B6">
              <w:t xml:space="preserve">, в том числе профессиональную рефлексию и профессиональную коммуникацию для </w:t>
            </w:r>
            <w:r w:rsidRPr="00E976B6">
              <w:lastRenderedPageBreak/>
              <w:t>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</w:tr>
      <w:tr w:rsidR="00E976B6" w:rsidRPr="00E976B6" w:rsidTr="00E26122">
        <w:trPr>
          <w:trHeight w:val="848"/>
        </w:trPr>
        <w:tc>
          <w:tcPr>
            <w:tcW w:w="2972" w:type="dxa"/>
          </w:tcPr>
          <w:p w:rsidR="00E976B6" w:rsidRPr="00E976B6" w:rsidRDefault="00E976B6" w:rsidP="00E976B6">
            <w:r w:rsidRPr="00E976B6">
              <w:lastRenderedPageBreak/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662" w:type="dxa"/>
          </w:tcPr>
          <w:p w:rsidR="00E976B6" w:rsidRPr="00E976B6" w:rsidRDefault="00E976B6" w:rsidP="00E976B6">
            <w:pPr>
              <w:rPr>
                <w:b/>
              </w:rPr>
            </w:pPr>
            <w:r w:rsidRPr="00E976B6">
              <w:rPr>
                <w:b/>
              </w:rPr>
              <w:t>ОПК-11</w:t>
            </w:r>
          </w:p>
          <w:p w:rsidR="00E976B6" w:rsidRPr="00E976B6" w:rsidRDefault="00E976B6" w:rsidP="00E976B6">
            <w:r w:rsidRPr="00E976B6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proofErr w:type="spellStart"/>
      <w:r w:rsidR="00FA6834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9E4B35">
        <w:t>6</w:t>
      </w:r>
      <w:r w:rsidR="00902511" w:rsidRPr="00D738A5">
        <w:t>0</w:t>
      </w:r>
      <w:r w:rsidRPr="00D738A5">
        <w:t xml:space="preserve"> процентов общего объема программы </w:t>
      </w:r>
      <w:proofErr w:type="spellStart"/>
      <w:r w:rsidR="00FA6834">
        <w:t>специалитета</w:t>
      </w:r>
      <w:proofErr w:type="spellEnd"/>
      <w:r w:rsidRPr="00D738A5">
        <w:t xml:space="preserve">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D738A5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FA6834">
        <w:t>37.05.01 Клиническая психология</w:t>
      </w:r>
      <w:r w:rsidR="00902511" w:rsidRPr="00D738A5">
        <w:t xml:space="preserve">, направленность (профиль) </w:t>
      </w:r>
      <w:r w:rsidR="005C6C1F">
        <w:t>Патопсихологическая диагностика и психотерапия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</w:t>
      </w:r>
      <w:proofErr w:type="spellStart"/>
      <w:r w:rsidR="00FA6834">
        <w:t>специалитета</w:t>
      </w:r>
      <w:proofErr w:type="spellEnd"/>
      <w:r w:rsidRPr="00D738A5">
        <w:t xml:space="preserve">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</w:t>
      </w:r>
      <w:proofErr w:type="spellStart"/>
      <w:r w:rsidR="00FA6834">
        <w:t>специалитета</w:t>
      </w:r>
      <w:proofErr w:type="spellEnd"/>
      <w:r w:rsidRPr="00D738A5">
        <w:t xml:space="preserve">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</w:t>
      </w:r>
      <w:r w:rsidRPr="00D738A5">
        <w:lastRenderedPageBreak/>
        <w:t>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</w:t>
      </w:r>
      <w:proofErr w:type="spellStart"/>
      <w:r w:rsidR="00FA6834">
        <w:t>специалитета</w:t>
      </w:r>
      <w:proofErr w:type="spellEnd"/>
      <w:r w:rsidRPr="00D738A5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 w:rsidR="00FA6834">
        <w:t>специалитета</w:t>
      </w:r>
      <w:proofErr w:type="spellEnd"/>
      <w:r w:rsidRPr="00D738A5">
        <w:t xml:space="preserve"> составляет в очной форме – не более </w:t>
      </w:r>
      <w:r w:rsidR="009E4B35">
        <w:t>60</w:t>
      </w:r>
      <w:r w:rsidRPr="00D738A5">
        <w:t xml:space="preserve"> процентов</w:t>
      </w:r>
      <w:r w:rsidR="009E4B35">
        <w:t xml:space="preserve"> </w:t>
      </w:r>
      <w:r w:rsidRPr="00D738A5">
        <w:t>общего времени, отводимого на реализацию дисциплин.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разработке ОПОП по направлению предусмотрены следующие технологии </w:t>
      </w:r>
      <w:r w:rsidRPr="00D738A5">
        <w:lastRenderedPageBreak/>
        <w:t>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FA6834">
        <w:rPr>
          <w:lang w:eastAsia="en-US"/>
        </w:rPr>
        <w:t>37.05.01 Клиническая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</w:t>
      </w:r>
      <w:proofErr w:type="spellStart"/>
      <w:r w:rsidR="00FA6834">
        <w:t>специалитета</w:t>
      </w:r>
      <w:proofErr w:type="spellEnd"/>
      <w:r w:rsidRPr="00D738A5">
        <w:t xml:space="preserve"> </w:t>
      </w:r>
      <w:r w:rsidR="00FA6834">
        <w:rPr>
          <w:lang w:eastAsia="en-US"/>
        </w:rPr>
        <w:t>37.05.01 Клиническая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5C6C1F">
        <w:rPr>
          <w:lang w:eastAsia="en-US"/>
        </w:rPr>
        <w:t>Патопсихологическая диагностика и психотерапия</w:t>
      </w:r>
      <w:r w:rsidR="00902511" w:rsidRPr="00D738A5">
        <w:t xml:space="preserve"> </w:t>
      </w:r>
      <w:r w:rsidRPr="00D738A5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70 процентов численности педагогических работников, участвующих в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, и лица, привлекаемые к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9E4B35">
        <w:t>5</w:t>
      </w:r>
      <w:r w:rsidRPr="00D738A5">
        <w:t xml:space="preserve"> процентов численности педагогических работников, участвующих в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, и лица, привлекаемые к реализации программы </w:t>
      </w:r>
      <w:proofErr w:type="spellStart"/>
      <w:r w:rsidR="00FA6834">
        <w:t>специалитета</w:t>
      </w:r>
      <w:proofErr w:type="spellEnd"/>
      <w:r w:rsidRPr="00D738A5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9E4B35">
      <w:pPr>
        <w:pStyle w:val="s1"/>
        <w:ind w:firstLine="708"/>
        <w:jc w:val="both"/>
      </w:pPr>
      <w:r w:rsidRPr="00D738A5">
        <w:t xml:space="preserve">Не менее </w:t>
      </w:r>
      <w:r w:rsidR="009E4B35">
        <w:t>70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</w:t>
      </w:r>
      <w:r w:rsidR="009E4B35">
        <w:t xml:space="preserve">аваемое в Российской Федерации), при этом не менее 25 </w:t>
      </w:r>
      <w:r w:rsidR="009E4B35">
        <w:lastRenderedPageBreak/>
        <w:t xml:space="preserve">процентов из них должны иметь ученую степень по специальности 19.00.04 "Медицинская психология", а не менее 45 процентов - ученую степень по научным специальностям в области психологических наук и вести научную, учебно-методическую и (или) практическую деятельность по направлению "медицинская/клиническая психология".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="00FA6834">
        <w:t>специалитета</w:t>
      </w:r>
      <w:proofErr w:type="spellEnd"/>
      <w:r w:rsidRPr="00D738A5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="00FA6834">
        <w:t>специалитета</w:t>
      </w:r>
      <w:proofErr w:type="spellEnd"/>
      <w:r w:rsidRPr="00D738A5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lastRenderedPageBreak/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D7" w:rsidRDefault="006719D7">
      <w:r>
        <w:separator/>
      </w:r>
    </w:p>
  </w:endnote>
  <w:endnote w:type="continuationSeparator" w:id="0">
    <w:p w:rsidR="006719D7" w:rsidRDefault="0067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6719D7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C1F">
          <w:rPr>
            <w:noProof/>
          </w:rPr>
          <w:t>2</w:t>
        </w:r>
        <w:r>
          <w:fldChar w:fldCharType="end"/>
        </w:r>
      </w:p>
    </w:sdtContent>
  </w:sdt>
  <w:p w:rsidR="00F555FB" w:rsidRDefault="006719D7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D7" w:rsidRDefault="006719D7">
      <w:r>
        <w:separator/>
      </w:r>
    </w:p>
  </w:footnote>
  <w:footnote w:type="continuationSeparator" w:id="0">
    <w:p w:rsidR="006719D7" w:rsidRDefault="0067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F2F59"/>
    <w:rsid w:val="00293A55"/>
    <w:rsid w:val="002C7134"/>
    <w:rsid w:val="002D3B41"/>
    <w:rsid w:val="003B691C"/>
    <w:rsid w:val="00454DCF"/>
    <w:rsid w:val="004759DC"/>
    <w:rsid w:val="004B335B"/>
    <w:rsid w:val="00502DC2"/>
    <w:rsid w:val="0055724D"/>
    <w:rsid w:val="005C6C1F"/>
    <w:rsid w:val="006719D7"/>
    <w:rsid w:val="008568B3"/>
    <w:rsid w:val="0088266F"/>
    <w:rsid w:val="00902511"/>
    <w:rsid w:val="009E4B35"/>
    <w:rsid w:val="00B1340D"/>
    <w:rsid w:val="00BA5C83"/>
    <w:rsid w:val="00D441D0"/>
    <w:rsid w:val="00D738A5"/>
    <w:rsid w:val="00DC2FB9"/>
    <w:rsid w:val="00E976B6"/>
    <w:rsid w:val="00FA6834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dcterms:created xsi:type="dcterms:W3CDTF">2023-05-06T18:19:00Z</dcterms:created>
  <dcterms:modified xsi:type="dcterms:W3CDTF">2023-10-20T06:51:00Z</dcterms:modified>
</cp:coreProperties>
</file>