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3E462A" w:rsidRDefault="00F24BD1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ФТД.02</w:t>
      </w:r>
      <w:r w:rsidR="0051501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kern w:val="0"/>
          <w:sz w:val="24"/>
          <w:szCs w:val="24"/>
          <w:lang w:eastAsia="ru-RU"/>
        </w:rPr>
        <w:t>ОРГАНИЗАЦИЯ ПРАВОВОЙ РАБОТЫ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6C4874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59750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597501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D606CB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3360EA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700A08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AC5815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lastRenderedPageBreak/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0465CC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F24BD1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24BD1" w:rsidRPr="00F24BD1" w:rsidRDefault="00920D08" w:rsidP="00F24BD1">
      <w:pPr>
        <w:shd w:val="clear" w:color="auto" w:fill="FFFFFF"/>
        <w:ind w:left="11" w:right="11" w:firstLine="709"/>
        <w:rPr>
          <w:color w:val="000000"/>
          <w:kern w:val="0"/>
          <w:sz w:val="24"/>
          <w:szCs w:val="24"/>
          <w:lang w:eastAsia="ru-RU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24BD1" w:rsidRPr="00F24BD1">
        <w:rPr>
          <w:color w:val="000000"/>
          <w:kern w:val="0"/>
          <w:sz w:val="24"/>
          <w:szCs w:val="24"/>
          <w:lang w:eastAsia="ru-RU"/>
        </w:rPr>
        <w:t>приобретение студентами необходимых теоретических и практических знаний в области особенностей производства по отдельным категориям гражданских дел.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24BD1" w:rsidRPr="00F24BD1" w:rsidRDefault="00F24BD1" w:rsidP="00F24BD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24BD1">
        <w:rPr>
          <w:kern w:val="0"/>
          <w:sz w:val="24"/>
          <w:szCs w:val="24"/>
          <w:lang w:eastAsia="ru-RU"/>
        </w:rPr>
        <w:t>сформировать умения оперировать юридическими понятиями и категориями; ана-лизировать юридические факты и возникающие в связи с ними правовые отношения; ана-лизировать, толковать и правильно применять правовые нормы; принимать решения и совершать юридические действия в точном соответствии с законом; осуществлять правовую экспертизу нормативных правовых актов; давать квалифицированные юридические заключения и консультации; правильно составлять и оформлять юридические документы; выявлять обстоятельства, способствующие совершению преступлений; планировать и осуществлять деятельность по предупреждению и профилактике правонарушений; выявлять, давать оценку и содействовать пресечению коррупционного поведения;</w:t>
      </w:r>
    </w:p>
    <w:p w:rsidR="00920D08" w:rsidRPr="003C0E55" w:rsidRDefault="00F24BD1" w:rsidP="00F24BD1">
      <w:pPr>
        <w:ind w:firstLine="527"/>
        <w:rPr>
          <w:sz w:val="24"/>
          <w:szCs w:val="24"/>
        </w:rPr>
      </w:pPr>
      <w:r w:rsidRPr="00F24BD1">
        <w:rPr>
          <w:kern w:val="0"/>
          <w:sz w:val="24"/>
          <w:szCs w:val="24"/>
          <w:lang w:eastAsia="ru-RU"/>
        </w:rPr>
        <w:t>-</w:t>
      </w:r>
      <w:r w:rsidRPr="00F24BD1">
        <w:rPr>
          <w:kern w:val="0"/>
          <w:sz w:val="24"/>
          <w:szCs w:val="24"/>
          <w:lang w:eastAsia="ru-RU"/>
        </w:rPr>
        <w:tab/>
        <w:t>сформировать навыки владением юридической терминологией; навыки работы с правовыми актами; навыками: анализа различных правовых явлений, юридических фак-тов, правовых норм и правовых отношений, являющихся объектами профессиональной деятельности; анализа правоприменительной и правоохранительной практики; разреше-ния правовых проблем и коллизий; реализации норм материального и процессуального права; принятия необходимых мер защиты прав человека и гражданина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D09BE" w:rsidRPr="000D09BE" w:rsidRDefault="000D09BE" w:rsidP="000D09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0D09BE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1 зачетная единица, 36 академических часов. </w:t>
      </w:r>
      <w:r w:rsidRPr="000D09BE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7D411B">
        <w:rPr>
          <w:i/>
          <w:iCs/>
          <w:sz w:val="24"/>
          <w:szCs w:val="24"/>
        </w:rPr>
        <w:tab/>
      </w: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F24BD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0D09B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1217" w:rsidRDefault="00AD3CA3" w:rsidP="003C121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3C121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1217" w:rsidRDefault="006E7CAD" w:rsidP="00F24BD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F24BD1">
              <w:rPr>
                <w:sz w:val="24"/>
                <w:szCs w:val="24"/>
              </w:rPr>
              <w:t>14</w:t>
            </w:r>
          </w:p>
        </w:tc>
      </w:tr>
      <w:tr w:rsidR="00AD3CA3" w:rsidRPr="003C1217" w:rsidTr="00EC52CF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F24BD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1217" w:rsidRDefault="000D09BE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31247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1247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31247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31247F">
              <w:rPr>
                <w:sz w:val="24"/>
                <w:szCs w:val="24"/>
              </w:rPr>
              <w:t>14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1217" w:rsidRDefault="0031247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1217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 w:rsidR="00BA4E31"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 w:rsidR="00BA4E31"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0D09B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4E31" w:rsidRPr="00750AED" w:rsidRDefault="00021E4B" w:rsidP="00021E4B">
            <w:pPr>
              <w:ind w:left="0" w:firstLine="0"/>
              <w:jc w:val="left"/>
              <w:rPr>
                <w:sz w:val="24"/>
                <w:szCs w:val="24"/>
              </w:rPr>
            </w:pPr>
            <w:r w:rsidRPr="00750AED">
              <w:rPr>
                <w:sz w:val="24"/>
                <w:szCs w:val="24"/>
              </w:rPr>
              <w:t>Юридическая служба хозяйствующего субъекта:</w:t>
            </w:r>
            <w:r w:rsidRPr="00750AED">
              <w:rPr>
                <w:sz w:val="24"/>
                <w:szCs w:val="24"/>
              </w:rPr>
              <w:br/>
              <w:t>понятие, функции, цели, задачи,нормативно-правовая основа</w:t>
            </w:r>
            <w:r w:rsidR="00750AED">
              <w:rPr>
                <w:sz w:val="24"/>
                <w:szCs w:val="24"/>
              </w:rPr>
              <w:t xml:space="preserve"> деятельности.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21E4B" w:rsidRPr="00750AED" w:rsidRDefault="00021E4B" w:rsidP="00021E4B">
            <w:pPr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50AED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Деятельность юридической службы в сфере корпоративных отношений.</w:t>
            </w:r>
          </w:p>
          <w:p w:rsidR="00BA4E31" w:rsidRPr="00750AED" w:rsidRDefault="00021E4B" w:rsidP="00021E4B">
            <w:pPr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50AED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Правовые риски в сфере корпоративных и иных управленческих отношений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21E4B" w:rsidRPr="00750AED" w:rsidRDefault="00021E4B" w:rsidP="00021E4B">
            <w:pPr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50AED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Управление правовыми рисками в сфере трудовых отношений - как функция</w:t>
            </w:r>
          </w:p>
          <w:p w:rsidR="00BA4E31" w:rsidRPr="00750AED" w:rsidRDefault="00021E4B" w:rsidP="00021E4B">
            <w:pPr>
              <w:ind w:left="0" w:firstLine="0"/>
              <w:rPr>
                <w:b/>
                <w:sz w:val="24"/>
                <w:szCs w:val="24"/>
              </w:rPr>
            </w:pPr>
            <w:r w:rsidRPr="00750AED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юридической службы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4E31" w:rsidRPr="00750AED" w:rsidRDefault="00021E4B" w:rsidP="00021E4B">
            <w:pPr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750AED">
              <w:rPr>
                <w:bCs/>
                <w:kern w:val="0"/>
                <w:sz w:val="24"/>
                <w:szCs w:val="24"/>
                <w:lang w:eastAsia="ru-RU"/>
              </w:rPr>
              <w:t>Правовые риски в сфере договорной работы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4E31" w:rsidRPr="00750AED" w:rsidRDefault="00021E4B" w:rsidP="00021E4B">
            <w:pPr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750AED">
              <w:rPr>
                <w:bCs/>
                <w:kern w:val="0"/>
                <w:sz w:val="24"/>
                <w:szCs w:val="24"/>
                <w:lang w:eastAsia="ru-RU"/>
              </w:rPr>
              <w:t>Управление правовыми рисками в сфере обеспечения сохранности имущества хозяйствующего субъекта</w:t>
            </w:r>
          </w:p>
        </w:tc>
      </w:tr>
      <w:tr w:rsidR="00721C84" w:rsidRPr="0053465B" w:rsidTr="002825CF">
        <w:tc>
          <w:tcPr>
            <w:tcW w:w="693" w:type="dxa"/>
          </w:tcPr>
          <w:p w:rsidR="00721C84" w:rsidRPr="0053465B" w:rsidRDefault="00721C84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50AED" w:rsidRPr="00750AED" w:rsidRDefault="00750AED" w:rsidP="00750AED">
            <w:pPr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750AED">
              <w:rPr>
                <w:bCs/>
                <w:kern w:val="0"/>
                <w:sz w:val="24"/>
                <w:szCs w:val="24"/>
                <w:lang w:eastAsia="ru-RU"/>
              </w:rPr>
              <w:t>Организация правовой защиты хозяйствующего субъекта при осуществлении</w:t>
            </w:r>
          </w:p>
          <w:p w:rsidR="00721C84" w:rsidRPr="00750AED" w:rsidRDefault="00750AED" w:rsidP="00750AED">
            <w:pPr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750AED">
              <w:rPr>
                <w:bCs/>
                <w:kern w:val="0"/>
                <w:sz w:val="24"/>
                <w:szCs w:val="24"/>
                <w:lang w:eastAsia="ru-RU"/>
              </w:rPr>
              <w:t>государственного и муниципального контроля.</w:t>
            </w:r>
          </w:p>
        </w:tc>
      </w:tr>
      <w:tr w:rsidR="00721C84" w:rsidRPr="0053465B" w:rsidTr="002825CF">
        <w:tc>
          <w:tcPr>
            <w:tcW w:w="693" w:type="dxa"/>
          </w:tcPr>
          <w:p w:rsidR="00721C84" w:rsidRPr="0053465B" w:rsidRDefault="00721C84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21C84" w:rsidRPr="00750AED" w:rsidRDefault="00750AED" w:rsidP="00750AED">
            <w:pPr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750AED">
              <w:rPr>
                <w:bCs/>
                <w:kern w:val="0"/>
                <w:sz w:val="24"/>
                <w:szCs w:val="24"/>
                <w:lang w:eastAsia="ru-RU"/>
              </w:rPr>
              <w:t>Правовые риски в сфере претензионно-исковой работы.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D09BE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9BE" w:rsidRPr="00555F6C" w:rsidRDefault="000D09BE" w:rsidP="000D09B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0AED" w:rsidRDefault="00750AED" w:rsidP="00750AED">
            <w:r>
              <w:t>Юридическая служба хозяйствующего субъекта:</w:t>
            </w:r>
          </w:p>
          <w:p w:rsidR="000D09BE" w:rsidRPr="00F677CE" w:rsidRDefault="00750AED" w:rsidP="00750AED">
            <w:r>
              <w:t>понятие, функции, цели, задачи,нормативно-правовая основа 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9BE" w:rsidRPr="00555F6C" w:rsidRDefault="000D09BE" w:rsidP="000D0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D09BE" w:rsidRPr="00555F6C" w:rsidRDefault="000D09BE" w:rsidP="000D0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D09BE" w:rsidRPr="00555F6C" w:rsidRDefault="000D09BE" w:rsidP="000D0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482108" w:rsidRPr="00482108" w:rsidRDefault="00482108" w:rsidP="00482108">
      <w:pPr>
        <w:pStyle w:val="ad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482108">
        <w:rPr>
          <w:bCs/>
          <w:kern w:val="0"/>
          <w:sz w:val="24"/>
          <w:szCs w:val="24"/>
          <w:lang w:eastAsia="ru-RU"/>
        </w:rPr>
        <w:t>Юридическая служба хозяйствующего субъекта:</w:t>
      </w:r>
    </w:p>
    <w:p w:rsidR="00482108" w:rsidRPr="00482108" w:rsidRDefault="00482108" w:rsidP="00482108">
      <w:pPr>
        <w:pStyle w:val="ad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482108">
        <w:rPr>
          <w:bCs/>
          <w:kern w:val="0"/>
          <w:sz w:val="24"/>
          <w:szCs w:val="24"/>
          <w:lang w:eastAsia="ru-RU"/>
        </w:rPr>
        <w:t>понятие, функции, цели, задачи,нормативно-правовая основа деятельности.</w:t>
      </w:r>
    </w:p>
    <w:p w:rsidR="00482108" w:rsidRPr="00482108" w:rsidRDefault="00482108" w:rsidP="00482108">
      <w:pPr>
        <w:pStyle w:val="ad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482108">
        <w:rPr>
          <w:bCs/>
          <w:kern w:val="0"/>
          <w:sz w:val="24"/>
          <w:szCs w:val="24"/>
          <w:lang w:eastAsia="ru-RU"/>
        </w:rPr>
        <w:t>Деятельность юридической службы в сфере корпоративных отношений.</w:t>
      </w:r>
    </w:p>
    <w:p w:rsidR="00482108" w:rsidRPr="00482108" w:rsidRDefault="00482108" w:rsidP="00482108">
      <w:pPr>
        <w:pStyle w:val="ad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482108">
        <w:rPr>
          <w:bCs/>
          <w:kern w:val="0"/>
          <w:sz w:val="24"/>
          <w:szCs w:val="24"/>
          <w:lang w:eastAsia="ru-RU"/>
        </w:rPr>
        <w:t>Правовые риски в сфере корпоративных и иных управленческих отношений</w:t>
      </w:r>
    </w:p>
    <w:p w:rsidR="00482108" w:rsidRPr="00482108" w:rsidRDefault="00482108" w:rsidP="00482108">
      <w:pPr>
        <w:pStyle w:val="ad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482108">
        <w:rPr>
          <w:bCs/>
          <w:kern w:val="0"/>
          <w:sz w:val="24"/>
          <w:szCs w:val="24"/>
          <w:lang w:eastAsia="ru-RU"/>
        </w:rPr>
        <w:t>Управление правовыми рисками в сфере трудовых отношений - как функция</w:t>
      </w:r>
    </w:p>
    <w:p w:rsidR="00482108" w:rsidRPr="00482108" w:rsidRDefault="00482108" w:rsidP="00482108">
      <w:pPr>
        <w:pStyle w:val="ad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482108">
        <w:rPr>
          <w:bCs/>
          <w:kern w:val="0"/>
          <w:sz w:val="24"/>
          <w:szCs w:val="24"/>
          <w:lang w:eastAsia="ru-RU"/>
        </w:rPr>
        <w:t>юридической службы</w:t>
      </w:r>
    </w:p>
    <w:p w:rsidR="00482108" w:rsidRPr="00482108" w:rsidRDefault="00482108" w:rsidP="00482108">
      <w:pPr>
        <w:pStyle w:val="ad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482108">
        <w:rPr>
          <w:bCs/>
          <w:kern w:val="0"/>
          <w:sz w:val="24"/>
          <w:szCs w:val="24"/>
          <w:lang w:eastAsia="ru-RU"/>
        </w:rPr>
        <w:t>Правовые риски в сфере договорной работы</w:t>
      </w:r>
    </w:p>
    <w:p w:rsidR="00482108" w:rsidRPr="00482108" w:rsidRDefault="00482108" w:rsidP="00482108">
      <w:pPr>
        <w:pStyle w:val="ad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482108">
        <w:rPr>
          <w:bCs/>
          <w:kern w:val="0"/>
          <w:sz w:val="24"/>
          <w:szCs w:val="24"/>
          <w:lang w:eastAsia="ru-RU"/>
        </w:rPr>
        <w:t>Управление правовыми рисками в сфере обеспечения сохранности имущества хозяйствующего субъекта</w:t>
      </w:r>
    </w:p>
    <w:p w:rsidR="00482108" w:rsidRPr="00482108" w:rsidRDefault="00482108" w:rsidP="00482108">
      <w:pPr>
        <w:pStyle w:val="ad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482108">
        <w:rPr>
          <w:bCs/>
          <w:kern w:val="0"/>
          <w:sz w:val="24"/>
          <w:szCs w:val="24"/>
          <w:lang w:eastAsia="ru-RU"/>
        </w:rPr>
        <w:t>Организация правовой защиты хозяйствующего субъекта при осуществлении</w:t>
      </w:r>
    </w:p>
    <w:p w:rsidR="00482108" w:rsidRPr="00482108" w:rsidRDefault="00482108" w:rsidP="00482108">
      <w:pPr>
        <w:pStyle w:val="ad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482108">
        <w:rPr>
          <w:bCs/>
          <w:kern w:val="0"/>
          <w:sz w:val="24"/>
          <w:szCs w:val="24"/>
          <w:lang w:eastAsia="ru-RU"/>
        </w:rPr>
        <w:t>государственного и муниципального контроля.</w:t>
      </w:r>
    </w:p>
    <w:p w:rsidR="00483552" w:rsidRPr="00482108" w:rsidRDefault="00482108" w:rsidP="00482108">
      <w:pPr>
        <w:pStyle w:val="ad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b/>
          <w:bCs/>
          <w:kern w:val="0"/>
          <w:sz w:val="24"/>
          <w:szCs w:val="24"/>
          <w:lang w:eastAsia="ru-RU"/>
        </w:rPr>
      </w:pPr>
      <w:r w:rsidRPr="00482108">
        <w:rPr>
          <w:bCs/>
          <w:kern w:val="0"/>
          <w:sz w:val="24"/>
          <w:szCs w:val="24"/>
          <w:lang w:eastAsia="ru-RU"/>
        </w:rPr>
        <w:t>Правовые риски в сфере претензионно-исковой работы.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48210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482108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B3701" w:rsidRDefault="00AF286E" w:rsidP="006B3701">
      <w:pPr>
        <w:pStyle w:val="ad"/>
        <w:numPr>
          <w:ilvl w:val="1"/>
          <w:numId w:val="8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6B370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6B3701" w:rsidRPr="006B3701" w:rsidTr="00687C1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6B3701" w:rsidRPr="006B3701" w:rsidTr="00687C16">
        <w:trPr>
          <w:cantSplit/>
          <w:trHeight w:val="519"/>
        </w:trPr>
        <w:tc>
          <w:tcPr>
            <w:tcW w:w="648" w:type="dxa"/>
            <w:vMerge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6B3701" w:rsidRPr="006B3701" w:rsidTr="00687C16">
        <w:tc>
          <w:tcPr>
            <w:tcW w:w="648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6B3701" w:rsidRPr="006B3701" w:rsidRDefault="00750AED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0AED">
              <w:rPr>
                <w:bCs/>
                <w:kern w:val="0"/>
                <w:sz w:val="24"/>
                <w:szCs w:val="24"/>
                <w:lang w:eastAsia="ru-RU"/>
              </w:rPr>
              <w:t>Коммерческое (предпринимательское) право: учебник</w:t>
            </w:r>
          </w:p>
        </w:tc>
        <w:tc>
          <w:tcPr>
            <w:tcW w:w="1560" w:type="dxa"/>
          </w:tcPr>
          <w:p w:rsidR="006B3701" w:rsidRPr="006B3701" w:rsidRDefault="00750AED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0AED">
              <w:rPr>
                <w:kern w:val="0"/>
                <w:sz w:val="24"/>
                <w:szCs w:val="24"/>
                <w:lang w:eastAsia="ru-RU"/>
              </w:rPr>
              <w:t>Попондопуло В.Ф</w:t>
            </w:r>
          </w:p>
        </w:tc>
        <w:tc>
          <w:tcPr>
            <w:tcW w:w="1133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6B3701" w:rsidRPr="006B3701" w:rsidRDefault="006B3701" w:rsidP="00750A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20</w:t>
            </w:r>
            <w:r w:rsidR="00750AED">
              <w:rPr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8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6B3701" w:rsidRPr="006B3701" w:rsidTr="00687C16">
        <w:tc>
          <w:tcPr>
            <w:tcW w:w="648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Гражданское право: учебник : в 2-х ч., Ч. 1</w:t>
            </w:r>
          </w:p>
        </w:tc>
        <w:tc>
          <w:tcPr>
            <w:tcW w:w="1560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 xml:space="preserve">Барков </w:t>
            </w:r>
          </w:p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 xml:space="preserve">А. В., </w:t>
            </w:r>
          </w:p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 xml:space="preserve">Вавилин Е. В., Голубцов В. В., Демидова </w:t>
            </w:r>
          </w:p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Г. С., Иванов В. И.</w:t>
            </w:r>
          </w:p>
        </w:tc>
        <w:tc>
          <w:tcPr>
            <w:tcW w:w="1133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201</w:t>
            </w:r>
            <w:r w:rsidRPr="006B3701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68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6B3701" w:rsidRPr="006B3701" w:rsidTr="00687C16">
        <w:tc>
          <w:tcPr>
            <w:tcW w:w="648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Гражданское право: учебник : в 2-х ч., Ч. 2</w:t>
            </w:r>
          </w:p>
        </w:tc>
        <w:tc>
          <w:tcPr>
            <w:tcW w:w="1560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 xml:space="preserve">Барков </w:t>
            </w:r>
          </w:p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 xml:space="preserve">А. В., </w:t>
            </w:r>
          </w:p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 xml:space="preserve">Вавилин Е. В., Голубцов В. В., Демидова </w:t>
            </w:r>
          </w:p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Г. С., Иванов В. И.</w:t>
            </w:r>
          </w:p>
        </w:tc>
        <w:tc>
          <w:tcPr>
            <w:tcW w:w="1133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201</w:t>
            </w:r>
            <w:r w:rsidRPr="006B3701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68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74" w:type="dxa"/>
          </w:tcPr>
          <w:p w:rsidR="006B3701" w:rsidRPr="006B3701" w:rsidRDefault="006B3701" w:rsidP="006B370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701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5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6158E2"/>
    <w:multiLevelType w:val="multilevel"/>
    <w:tmpl w:val="470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6" w15:restartNumberingAfterBreak="0">
    <w:nsid w:val="69FC3D46"/>
    <w:multiLevelType w:val="hybridMultilevel"/>
    <w:tmpl w:val="A7AE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E4B"/>
    <w:rsid w:val="000D09BE"/>
    <w:rsid w:val="00102BF6"/>
    <w:rsid w:val="001043F8"/>
    <w:rsid w:val="001071B9"/>
    <w:rsid w:val="00180109"/>
    <w:rsid w:val="002668FA"/>
    <w:rsid w:val="002759C4"/>
    <w:rsid w:val="00275F79"/>
    <w:rsid w:val="002825CF"/>
    <w:rsid w:val="002F3F60"/>
    <w:rsid w:val="0031247F"/>
    <w:rsid w:val="003408B2"/>
    <w:rsid w:val="003C1217"/>
    <w:rsid w:val="003E462A"/>
    <w:rsid w:val="00463A0F"/>
    <w:rsid w:val="00482108"/>
    <w:rsid w:val="00483552"/>
    <w:rsid w:val="0051501E"/>
    <w:rsid w:val="00555F6C"/>
    <w:rsid w:val="0056393A"/>
    <w:rsid w:val="00597501"/>
    <w:rsid w:val="005B5E17"/>
    <w:rsid w:val="00693A3A"/>
    <w:rsid w:val="006B3701"/>
    <w:rsid w:val="006C4874"/>
    <w:rsid w:val="006E7CAD"/>
    <w:rsid w:val="00721C84"/>
    <w:rsid w:val="00750AED"/>
    <w:rsid w:val="007B5F16"/>
    <w:rsid w:val="007D411B"/>
    <w:rsid w:val="00821DAD"/>
    <w:rsid w:val="00836359"/>
    <w:rsid w:val="008B4D04"/>
    <w:rsid w:val="00917962"/>
    <w:rsid w:val="00920D08"/>
    <w:rsid w:val="0095632D"/>
    <w:rsid w:val="00AD3CA3"/>
    <w:rsid w:val="00AF286E"/>
    <w:rsid w:val="00BA4E31"/>
    <w:rsid w:val="00BF01AB"/>
    <w:rsid w:val="00BF72DD"/>
    <w:rsid w:val="00C74037"/>
    <w:rsid w:val="00F24BD1"/>
    <w:rsid w:val="00F60CF5"/>
    <w:rsid w:val="00F67B0B"/>
    <w:rsid w:val="00FB6600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C5B2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isty.ucoz.ru/" TargetMode="External"/><Relationship Id="rId5" Type="http://schemas.openxmlformats.org/officeDocument/2006/relationships/hyperlink" Target="http://www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8</cp:revision>
  <cp:lastPrinted>2020-11-13T10:48:00Z</cp:lastPrinted>
  <dcterms:created xsi:type="dcterms:W3CDTF">2021-08-17T11:06:00Z</dcterms:created>
  <dcterms:modified xsi:type="dcterms:W3CDTF">2023-05-24T07:04:00Z</dcterms:modified>
</cp:coreProperties>
</file>