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1437EF" w:rsidP="00FC2059">
      <w:pPr>
        <w:widowControl w:val="0"/>
        <w:spacing w:before="360"/>
        <w:jc w:val="center"/>
      </w:pPr>
      <w:r w:rsidRPr="00B05E7E">
        <w:rPr>
          <w:b/>
          <w:bCs/>
          <w:sz w:val="32"/>
          <w:szCs w:val="32"/>
        </w:rPr>
        <w:t>44.04.01 Педагогическое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DA37C7">
        <w:rPr>
          <w:b/>
          <w:bCs/>
        </w:rPr>
        <w:t>Музыка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B05E7E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454DCF" w:rsidRPr="00B05E7E">
        <w:rPr>
          <w:lang w:eastAsia="en-US"/>
        </w:rPr>
        <w:t xml:space="preserve">, направленность (профиль) </w:t>
      </w:r>
      <w:r w:rsidR="00DA37C7">
        <w:rPr>
          <w:lang w:eastAsia="en-US"/>
        </w:rPr>
        <w:t>Музыка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22</w:t>
      </w:r>
      <w:r w:rsidRPr="00B05E7E">
        <w:rPr>
          <w:lang w:eastAsia="en-US"/>
        </w:rPr>
        <w:t xml:space="preserve"> февраля 2018 г. N </w:t>
      </w:r>
      <w:r w:rsidR="001437EF" w:rsidRPr="00B05E7E">
        <w:rPr>
          <w:lang w:eastAsia="en-US"/>
        </w:rPr>
        <w:t>126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>ации от 22 февраля 2018 г. N 126</w:t>
      </w:r>
      <w:r w:rsidR="00FC0108" w:rsidRPr="00B05E7E">
        <w:rPr>
          <w:lang w:eastAsia="en-US"/>
        </w:rPr>
        <w:t xml:space="preserve"> 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01 Образование и наука</w:t>
      </w:r>
      <w:r w:rsidR="00FC2059" w:rsidRPr="00B05E7E">
        <w:rPr>
          <w:sz w:val="24"/>
          <w:szCs w:val="24"/>
          <w:lang w:eastAsia="ru-RU"/>
        </w:rPr>
        <w:t>.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A292A" w:rsidRPr="00B05E7E">
        <w:rPr>
          <w:lang w:eastAsia="en-US"/>
        </w:rPr>
        <w:t>44.04.01 Педагогическое образование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DA37C7" w:rsidRPr="00B05E7E" w:rsidTr="000660E1">
        <w:tc>
          <w:tcPr>
            <w:tcW w:w="2689" w:type="dxa"/>
          </w:tcPr>
          <w:p w:rsidR="00DA37C7" w:rsidRPr="00C32CE8" w:rsidRDefault="00DA37C7" w:rsidP="00DA37C7">
            <w:pPr>
              <w:jc w:val="both"/>
            </w:pPr>
          </w:p>
          <w:p w:rsidR="00DA37C7" w:rsidRPr="00C32CE8" w:rsidRDefault="00DA37C7" w:rsidP="00DA37C7">
            <w:pPr>
              <w:jc w:val="both"/>
            </w:pPr>
            <w:r w:rsidRPr="00C32CE8">
              <w:t>01.001</w:t>
            </w:r>
          </w:p>
        </w:tc>
        <w:tc>
          <w:tcPr>
            <w:tcW w:w="6656" w:type="dxa"/>
          </w:tcPr>
          <w:p w:rsidR="00DA37C7" w:rsidRPr="00C32CE8" w:rsidRDefault="00DA37C7" w:rsidP="00DA37C7">
            <w:pPr>
              <w:jc w:val="both"/>
            </w:pPr>
            <w:r w:rsidRPr="00C32CE8">
      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утвержденный приказом Минтруда России № 544н от 18.10.2013 </w:t>
            </w:r>
          </w:p>
        </w:tc>
      </w:tr>
      <w:tr w:rsidR="00DA37C7" w:rsidRPr="00B05E7E" w:rsidTr="000660E1">
        <w:tc>
          <w:tcPr>
            <w:tcW w:w="2689" w:type="dxa"/>
          </w:tcPr>
          <w:p w:rsidR="00DA37C7" w:rsidRPr="00C32CE8" w:rsidRDefault="00DA37C7" w:rsidP="00DA37C7">
            <w:pPr>
              <w:jc w:val="both"/>
            </w:pPr>
            <w:r w:rsidRPr="00C32CE8">
              <w:t>0</w:t>
            </w:r>
            <w:r>
              <w:t>1</w:t>
            </w:r>
            <w:r w:rsidRPr="00C32CE8">
              <w:t>.00</w:t>
            </w:r>
            <w:r>
              <w:t>3</w:t>
            </w:r>
          </w:p>
        </w:tc>
        <w:tc>
          <w:tcPr>
            <w:tcW w:w="6656" w:type="dxa"/>
          </w:tcPr>
          <w:p w:rsidR="00DA37C7" w:rsidRPr="00C32CE8" w:rsidRDefault="00DA37C7" w:rsidP="00DA37C7">
            <w:pPr>
              <w:jc w:val="both"/>
            </w:pPr>
            <w:r w:rsidRPr="00C32CE8">
              <w:t>Профессиональный стандарт «Педагог дополнительного образования детей и взрослых», утвержденный приказом Минтруда России №652н от 22.09.2021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DA37C7">
        <w:rPr>
          <w:lang w:eastAsia="en-US"/>
        </w:rPr>
        <w:t>Музыка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FC0108" w:rsidRPr="00B05E7E">
        <w:t>01 Образование и наука</w:t>
      </w:r>
      <w:r w:rsidRPr="00B05E7E">
        <w:t>,</w:t>
      </w:r>
      <w:r w:rsidR="00902511" w:rsidRPr="00B05E7E">
        <w:t xml:space="preserve">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B05E7E">
        <w:t xml:space="preserve"> </w:t>
      </w:r>
      <w:r w:rsidR="00FC0108" w:rsidRPr="00B05E7E">
        <w:t>и тип</w:t>
      </w:r>
      <w:r w:rsidRPr="00B05E7E">
        <w:t xml:space="preserve"> задач профессиональной деятельности </w:t>
      </w:r>
      <w:r w:rsidR="00931B8B">
        <w:t>– педагогический, методический, научно-исследовательский.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DA37C7" w:rsidRDefault="00DA37C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lastRenderedPageBreak/>
        <w:t xml:space="preserve">1.5.  КВАЛИФИКАЦИЯ, ПРИСВАИВАЕМАЯ ВЫПУСКНИКАМ ПО НАПРАВЛЕНИЮ ПОДГОТОВКИ </w:t>
      </w:r>
      <w:r w:rsidR="00DA37C7" w:rsidRPr="00DA37C7">
        <w:rPr>
          <w:b/>
          <w:lang w:eastAsia="en-US"/>
        </w:rPr>
        <w:t>44.04.01 ПЕДАГОГИЧЕСКОЕ ОБРАЗОВАНИЕ, НАПРАВЛЕННОСТЬ (ПРОФИЛЬ) МУЗЫКА</w:t>
      </w:r>
      <w:r w:rsidR="00DA37C7" w:rsidRPr="00DA37C7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</w:t>
      </w:r>
      <w:proofErr w:type="spellStart"/>
      <w:r w:rsidRPr="00B05E7E">
        <w:t>з.е</w:t>
      </w:r>
      <w:proofErr w:type="spellEnd"/>
      <w:r w:rsidRPr="00B05E7E">
        <w:t xml:space="preserve">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</w:t>
      </w:r>
      <w:proofErr w:type="spellStart"/>
      <w:r w:rsidRPr="00B05E7E">
        <w:t>з.е</w:t>
      </w:r>
      <w:proofErr w:type="spellEnd"/>
      <w:r w:rsidRPr="00B05E7E">
        <w:t xml:space="preserve">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B05E7E">
        <w:t>з.е</w:t>
      </w:r>
      <w:proofErr w:type="spellEnd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DA37C7">
        <w:rPr>
          <w:lang w:eastAsia="en-US"/>
        </w:rPr>
        <w:t>Музыка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Системное и критическое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мышление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УК-1. Способен осуществлять критический анализ проблемных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ситуаций на основе системного подхода, вырабатывать стратегию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действий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Разработка и реализация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цикла</w:t>
            </w:r>
          </w:p>
        </w:tc>
      </w:tr>
      <w:tr w:rsidR="00B05E7E" w:rsidRPr="00B05E7E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Командная работа и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УК-3. Способен организовывать и руководить работой команды,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вырабатывая командную стратегию для достижения поставленной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цели</w:t>
            </w:r>
          </w:p>
        </w:tc>
      </w:tr>
      <w:tr w:rsidR="00B05E7E" w:rsidRPr="00B05E7E" w:rsidTr="00FC2059">
        <w:trPr>
          <w:trHeight w:val="980"/>
        </w:trPr>
        <w:tc>
          <w:tcPr>
            <w:tcW w:w="2972" w:type="dxa"/>
          </w:tcPr>
          <w:p w:rsidR="00FC2059" w:rsidRPr="00B05E7E" w:rsidRDefault="004A292A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УК-4. Способен применять современные коммуникативные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технологии, в том числе на иностранном(</w:t>
            </w:r>
            <w:proofErr w:type="spellStart"/>
            <w:r w:rsidRPr="00B05E7E">
              <w:rPr>
                <w:kern w:val="1"/>
              </w:rPr>
              <w:t>ых</w:t>
            </w:r>
            <w:proofErr w:type="spellEnd"/>
            <w:r w:rsidRPr="00B05E7E">
              <w:rPr>
                <w:kern w:val="1"/>
              </w:rPr>
              <w:t>) языке(ах), для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B05E7E" w:rsidRPr="00B05E7E" w:rsidTr="00FC2059">
        <w:trPr>
          <w:trHeight w:val="843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Межкультурное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УК-5. Способен анализировать и учитывать разнообразие культур в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процессе межкультурного взаимодействия</w:t>
            </w:r>
          </w:p>
        </w:tc>
      </w:tr>
      <w:tr w:rsidR="00B05E7E" w:rsidRPr="00B05E7E" w:rsidTr="00942F94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contextualSpacing/>
            </w:pPr>
            <w:r w:rsidRPr="00B05E7E">
              <w:t>Самоорганизация и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саморазвитие (в том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числе</w:t>
            </w:r>
          </w:p>
          <w:p w:rsidR="004A292A" w:rsidRPr="00B05E7E" w:rsidRDefault="004A292A" w:rsidP="004A292A">
            <w:pPr>
              <w:contextualSpacing/>
            </w:pPr>
            <w:proofErr w:type="spellStart"/>
            <w:r w:rsidRPr="00B05E7E">
              <w:t>здоровьесбережение</w:t>
            </w:r>
            <w:proofErr w:type="spellEnd"/>
            <w:r w:rsidRPr="00B05E7E">
              <w:t>)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contextualSpacing/>
            </w:pPr>
            <w:r w:rsidRPr="00B05E7E">
              <w:t>УК-6. Способен определять и реализовывать приоритеты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собственной деятельности и способы ее совершенствования на основе самооценки</w:t>
            </w:r>
          </w:p>
        </w:tc>
      </w:tr>
      <w:tr w:rsidR="00B05E7E" w:rsidRPr="00B05E7E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Правовые и этические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ОПК-1. Способен осуществлять и оптимизировать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основных и дополнительных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 xml:space="preserve">обеспечение их реализации 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 w:val="restart"/>
          </w:tcPr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Совместная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индивидуальная учебная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воспитательная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деятельность</w:t>
            </w:r>
          </w:p>
          <w:p w:rsidR="00FC2059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обучающихся</w:t>
            </w:r>
          </w:p>
        </w:tc>
        <w:tc>
          <w:tcPr>
            <w:tcW w:w="6662" w:type="dxa"/>
            <w:vMerge w:val="restart"/>
          </w:tcPr>
          <w:p w:rsidR="001E5174" w:rsidRPr="00B05E7E" w:rsidRDefault="001E5174" w:rsidP="001E5174">
            <w:pPr>
              <w:contextualSpacing/>
              <w:jc w:val="both"/>
            </w:pPr>
            <w:r w:rsidRPr="00B05E7E">
              <w:t>ОПК-3. Способен проектировать организацию совместной 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индивидуальной учебной и воспитательной деятельности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обучающихся, в том числе с особыми образовательными</w:t>
            </w:r>
          </w:p>
          <w:p w:rsidR="00FC2059" w:rsidRPr="00B05E7E" w:rsidRDefault="001E5174" w:rsidP="001E5174">
            <w:pPr>
              <w:contextualSpacing/>
              <w:jc w:val="both"/>
            </w:pPr>
            <w:r w:rsidRPr="00B05E7E">
              <w:t>потребностями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Построение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воспитывающей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образовательной среды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ОПК-4. Способен создавать и реализовывать условия и принципы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духовно-нравственного воспитания обучающихся на основе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базовых национальных ценностей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Контроль и оценка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формирования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ОПК-5. Способен разрабатывать программы мониторинга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 обучающихся, разрабатывать и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реализовывать программы преодоления трудностей в обучении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 технологии в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ОПК-6. Способен проектировать и использовать эффективные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психолого-педагогические, в том числе инклюзивные, технологии в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 деятельности, необходимые для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индивидуализации обучения, развития, воспитания обучающихся с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особыми образовательными потребностями</w:t>
            </w:r>
          </w:p>
        </w:tc>
      </w:tr>
      <w:tr w:rsidR="00B05E7E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 с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участниками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отношений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ОПК-7. Способен планировать и организовывать взаимодействия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участников образовательных отношений</w:t>
            </w:r>
          </w:p>
        </w:tc>
      </w:tr>
      <w:tr w:rsidR="00902511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Научные 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педагогической</w:t>
            </w:r>
          </w:p>
          <w:p w:rsidR="00902511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ОПК-8. Способен проектировать педагогическую деятельность на</w:t>
            </w:r>
          </w:p>
          <w:p w:rsidR="00902511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DA37C7">
        <w:rPr>
          <w:lang w:eastAsia="en-US"/>
        </w:rPr>
        <w:t>Музыка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DA37C7">
        <w:rPr>
          <w:lang w:eastAsia="en-US"/>
        </w:rPr>
        <w:t>Музыка</w:t>
      </w:r>
      <w:r w:rsidRPr="00B05E7E">
        <w:t xml:space="preserve"> </w:t>
      </w:r>
      <w:r w:rsidR="00A53667">
        <w:t>.</w:t>
      </w:r>
      <w:bookmarkStart w:id="6" w:name="_GoBack"/>
      <w:bookmarkEnd w:id="6"/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DA37C7">
        <w:rPr>
          <w:lang w:eastAsia="en-US"/>
        </w:rPr>
        <w:t>Музыка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DA37C7">
        <w:rPr>
          <w:lang w:eastAsia="en-US"/>
        </w:rPr>
        <w:t>Музыка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</w:t>
      </w:r>
      <w:r w:rsidRPr="00B05E7E">
        <w:lastRenderedPageBreak/>
        <w:t xml:space="preserve">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проблемное обучение – стимулирование студентов к самостоятельной «добыче» </w:t>
      </w:r>
      <w:r w:rsidRPr="00B05E7E">
        <w:lastRenderedPageBreak/>
        <w:t>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DA37C7">
        <w:rPr>
          <w:lang w:eastAsia="en-US"/>
        </w:rPr>
        <w:t>Музыка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DA37C7">
        <w:rPr>
          <w:lang w:eastAsia="en-US"/>
        </w:rPr>
        <w:t>Музыка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</w:t>
      </w:r>
      <w:proofErr w:type="gramStart"/>
      <w:r w:rsidRPr="00B05E7E">
        <w:t xml:space="preserve">программы </w:t>
      </w:r>
      <w:r w:rsidR="001437EF" w:rsidRPr="00B05E7E">
        <w:t xml:space="preserve"> магистратуры</w:t>
      </w:r>
      <w:proofErr w:type="gramEnd"/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902511" w:rsidRPr="00B05E7E">
        <w:t>10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E5174" w:rsidRPr="00B05E7E">
        <w:t>70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B05E7E">
        <w:t>им.А.С.Пушкина</w:t>
      </w:r>
      <w:proofErr w:type="spellEnd"/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B05E7E">
        <w:t>им.А.С.Пушкина</w:t>
      </w:r>
      <w:proofErr w:type="spellEnd"/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</w:t>
      </w:r>
      <w:r w:rsidRPr="00B05E7E">
        <w:lastRenderedPageBreak/>
        <w:t>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ЛГУ </w:t>
      </w:r>
      <w:proofErr w:type="spellStart"/>
      <w:r w:rsidRPr="00B05E7E">
        <w:t>им.А.С.Пушкина</w:t>
      </w:r>
      <w:proofErr w:type="spellEnd"/>
      <w:r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B05E7E">
        <w:rPr>
          <w:rFonts w:eastAsia="Times New Roman"/>
          <w:color w:val="auto"/>
          <w:lang w:eastAsia="ru-RU"/>
        </w:rPr>
        <w:t>в ЛГУ</w:t>
      </w:r>
      <w:proofErr w:type="gramEnd"/>
      <w:r w:rsidRPr="00B05E7E">
        <w:rPr>
          <w:rFonts w:eastAsia="Times New Roman"/>
          <w:color w:val="auto"/>
          <w:lang w:eastAsia="ru-RU"/>
        </w:rPr>
        <w:t xml:space="preserve">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</w:t>
      </w:r>
      <w:r w:rsidRPr="00B05E7E">
        <w:rPr>
          <w:rFonts w:eastAsia="Times New Roman"/>
          <w:color w:val="auto"/>
          <w:lang w:eastAsia="ru-RU"/>
        </w:rPr>
        <w:lastRenderedPageBreak/>
        <w:t xml:space="preserve">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56" w:rsidRDefault="00FC3E56">
      <w:r>
        <w:separator/>
      </w:r>
    </w:p>
  </w:endnote>
  <w:endnote w:type="continuationSeparator" w:id="0">
    <w:p w:rsidR="00FC3E56" w:rsidRDefault="00FC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A53667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667">
          <w:rPr>
            <w:noProof/>
          </w:rPr>
          <w:t>8</w:t>
        </w:r>
        <w:r>
          <w:fldChar w:fldCharType="end"/>
        </w:r>
      </w:p>
    </w:sdtContent>
  </w:sdt>
  <w:p w:rsidR="00F555FB" w:rsidRDefault="00A53667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56" w:rsidRDefault="00FC3E56">
      <w:r>
        <w:separator/>
      </w:r>
    </w:p>
  </w:footnote>
  <w:footnote w:type="continuationSeparator" w:id="0">
    <w:p w:rsidR="00FC3E56" w:rsidRDefault="00FC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038DA"/>
    <w:rsid w:val="00121C0E"/>
    <w:rsid w:val="001437EF"/>
    <w:rsid w:val="001E5174"/>
    <w:rsid w:val="002C7134"/>
    <w:rsid w:val="003B691C"/>
    <w:rsid w:val="00454DCF"/>
    <w:rsid w:val="004A292A"/>
    <w:rsid w:val="00502DC2"/>
    <w:rsid w:val="0052428D"/>
    <w:rsid w:val="0088266F"/>
    <w:rsid w:val="00902511"/>
    <w:rsid w:val="00931B8B"/>
    <w:rsid w:val="00990D24"/>
    <w:rsid w:val="00A53667"/>
    <w:rsid w:val="00B033C6"/>
    <w:rsid w:val="00B05E7E"/>
    <w:rsid w:val="00B1340D"/>
    <w:rsid w:val="00BB7F0F"/>
    <w:rsid w:val="00C2561B"/>
    <w:rsid w:val="00DA37C7"/>
    <w:rsid w:val="00FC0108"/>
    <w:rsid w:val="00FC2059"/>
    <w:rsid w:val="00FC3E56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B533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16</cp:revision>
  <dcterms:created xsi:type="dcterms:W3CDTF">2023-05-06T18:19:00Z</dcterms:created>
  <dcterms:modified xsi:type="dcterms:W3CDTF">2023-05-20T12:42:00Z</dcterms:modified>
</cp:coreProperties>
</file>