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97FE8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EA67C9" w:rsidRDefault="00EA67C9" w:rsidP="00EA67C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EA67C9" w:rsidRDefault="00EA67C9" w:rsidP="00EA67C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EA67C9" w:rsidRDefault="00EA67C9" w:rsidP="00EA67C9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:rsidR="00497FE8" w:rsidRPr="00470D55" w:rsidRDefault="00497FE8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УТВЕРЖДАЮ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Проректор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по учебно-методической работе</w:t>
            </w:r>
          </w:p>
          <w:p w:rsidR="00EA67C9" w:rsidRPr="00505423" w:rsidRDefault="00EA67C9" w:rsidP="00EA67C9">
            <w:pPr>
              <w:ind w:left="5487"/>
              <w:jc w:val="both"/>
            </w:pPr>
          </w:p>
          <w:p w:rsidR="00EA67C9" w:rsidRPr="00505423" w:rsidRDefault="00EA67C9" w:rsidP="00EA67C9">
            <w:pPr>
              <w:ind w:left="5487"/>
              <w:jc w:val="both"/>
            </w:pPr>
          </w:p>
          <w:p w:rsidR="00EA67C9" w:rsidRPr="00050ADB" w:rsidRDefault="00EA67C9" w:rsidP="00EA67C9">
            <w:pPr>
              <w:ind w:left="5487"/>
              <w:jc w:val="both"/>
            </w:pPr>
            <w:r w:rsidRPr="00050ADB">
              <w:t>________________С.Н. Большаков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050ADB">
              <w:t>«____» ____________</w:t>
            </w:r>
            <w:r w:rsidRPr="00505423">
              <w:t>20___ г.</w:t>
            </w:r>
          </w:p>
          <w:p w:rsidR="00497FE8" w:rsidRDefault="00497FE8" w:rsidP="009605E1">
            <w:pPr>
              <w:suppressAutoHyphens/>
              <w:ind w:left="4180"/>
              <w:jc w:val="both"/>
            </w:pPr>
          </w:p>
          <w:p w:rsidR="00497FE8" w:rsidRDefault="00497FE8" w:rsidP="009605E1">
            <w:pPr>
              <w:suppressAutoHyphens/>
              <w:jc w:val="both"/>
              <w:rPr>
                <w:b/>
                <w:bCs/>
              </w:rPr>
            </w:pP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 xml:space="preserve">РАБОЧАЯ ПРОГРАММА </w:t>
            </w: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>дисциплины</w:t>
            </w:r>
          </w:p>
          <w:p w:rsidR="00497FE8" w:rsidRPr="00CC104D" w:rsidRDefault="00497FE8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97FE8" w:rsidRPr="00D952BA" w:rsidRDefault="00EA67C9" w:rsidP="0019552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Б3.02</w:t>
            </w:r>
            <w:r w:rsidR="00497FE8" w:rsidRPr="00D952BA">
              <w:rPr>
                <w:b/>
                <w:bCs/>
                <w:sz w:val="28"/>
                <w:szCs w:val="28"/>
              </w:rPr>
              <w:t xml:space="preserve"> (Д) ПОДГОТОВКА И ЗАЩИТА ВЫПУСКНОЙ КВАЛИФИКАЦИОННОЙ РАБОТЫ</w:t>
            </w: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EA67C9" w:rsidRPr="00C234CC" w:rsidRDefault="00EA67C9" w:rsidP="00EA67C9">
            <w:pPr>
              <w:ind w:left="-284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 w:rsidRPr="00C234CC">
              <w:rPr>
                <w:b/>
                <w:bCs/>
              </w:rPr>
              <w:t>44.04.01 - Педагогическое образование</w:t>
            </w:r>
            <w:r w:rsidRPr="00C234CC">
              <w:rPr>
                <w:bCs/>
              </w:rPr>
              <w:t xml:space="preserve"> </w:t>
            </w:r>
          </w:p>
          <w:p w:rsidR="00EA67C9" w:rsidRPr="00C234CC" w:rsidRDefault="00EA67C9" w:rsidP="00EA67C9">
            <w:pPr>
              <w:ind w:left="-284"/>
              <w:jc w:val="both"/>
              <w:rPr>
                <w:b/>
              </w:rPr>
            </w:pPr>
          </w:p>
          <w:p w:rsidR="00EA67C9" w:rsidRPr="00C234CC" w:rsidRDefault="00EA67C9" w:rsidP="00EA67C9">
            <w:pPr>
              <w:ind w:left="-284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Направленность (профиль) </w:t>
            </w:r>
            <w:r w:rsidRPr="00C234CC">
              <w:rPr>
                <w:bCs/>
              </w:rPr>
              <w:t xml:space="preserve">– </w:t>
            </w:r>
            <w:r w:rsidRPr="00C234CC">
              <w:rPr>
                <w:b/>
                <w:bCs/>
                <w:i/>
              </w:rPr>
              <w:t>«</w:t>
            </w:r>
            <w:r w:rsidRPr="00941527">
              <w:rPr>
                <w:b/>
                <w:bCs/>
                <w:i/>
              </w:rPr>
              <w:t>Преподавание культурологии и урбанистики в высшей школе</w:t>
            </w:r>
            <w:r w:rsidRPr="00C234CC">
              <w:rPr>
                <w:b/>
                <w:bCs/>
                <w:i/>
              </w:rPr>
              <w:t>»</w:t>
            </w:r>
          </w:p>
          <w:p w:rsidR="00EA67C9" w:rsidRPr="00866B2F" w:rsidRDefault="00EA67C9" w:rsidP="00EA67C9">
            <w:pPr>
              <w:jc w:val="center"/>
            </w:pPr>
          </w:p>
          <w:p w:rsidR="00EA67C9" w:rsidRPr="00866B2F" w:rsidRDefault="00EA67C9" w:rsidP="00EA67C9">
            <w:pPr>
              <w:jc w:val="center"/>
            </w:pPr>
          </w:p>
          <w:p w:rsidR="00710BE0" w:rsidRDefault="00710BE0" w:rsidP="00710BE0">
            <w:pPr>
              <w:jc w:val="center"/>
            </w:pPr>
            <w:r>
              <w:t>(год начала подготовки - 2022)</w:t>
            </w: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  <w:r>
              <w:t>Санкт-Петербург</w:t>
            </w:r>
          </w:p>
          <w:p w:rsidR="00497FE8" w:rsidRPr="00242A89" w:rsidRDefault="00710BE0" w:rsidP="00710BE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2022</w:t>
            </w:r>
            <w:bookmarkStart w:id="0" w:name="_GoBack"/>
            <w:bookmarkEnd w:id="0"/>
          </w:p>
        </w:tc>
      </w:tr>
    </w:tbl>
    <w:p w:rsidR="00EA67C9" w:rsidRDefault="00497FE8" w:rsidP="00EA67C9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  <w:r w:rsidR="00EA67C9">
        <w:rPr>
          <w:b/>
          <w:bCs/>
          <w:kern w:val="24"/>
        </w:rPr>
        <w:lastRenderedPageBreak/>
        <w:t xml:space="preserve"> </w:t>
      </w:r>
    </w:p>
    <w:p w:rsidR="00497FE8" w:rsidRPr="0028500D" w:rsidRDefault="00497FE8" w:rsidP="002C59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kern w:val="24"/>
        </w:rPr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:rsidR="00497FE8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497FE8" w:rsidRPr="008A2F43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497FE8" w:rsidRPr="00EC77EF" w:rsidRDefault="00497FE8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</w:t>
      </w:r>
      <w:r>
        <w:rPr>
          <w:color w:val="000000"/>
        </w:rPr>
        <w:t xml:space="preserve"> магистерской программе</w:t>
      </w:r>
      <w:r w:rsidRPr="008A2F43">
        <w:rPr>
          <w:color w:val="000000"/>
        </w:rPr>
        <w:t xml:space="preserve">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EA67C9">
        <w:rPr>
          <w:color w:val="000000"/>
          <w:sz w:val="24"/>
          <w:szCs w:val="24"/>
        </w:rPr>
        <w:t>44</w:t>
      </w:r>
      <w:r w:rsidRPr="00101722">
        <w:rPr>
          <w:color w:val="000000"/>
          <w:sz w:val="24"/>
          <w:szCs w:val="24"/>
        </w:rPr>
        <w:t xml:space="preserve">.04.01 </w:t>
      </w:r>
      <w:r w:rsidR="00EA67C9">
        <w:rPr>
          <w:color w:val="000000"/>
          <w:sz w:val="24"/>
          <w:szCs w:val="24"/>
        </w:rPr>
        <w:t>Педагогическое образование</w:t>
      </w:r>
      <w:r>
        <w:rPr>
          <w:color w:val="000000"/>
          <w:sz w:val="24"/>
          <w:szCs w:val="24"/>
        </w:rPr>
        <w:t xml:space="preserve"> (</w:t>
      </w:r>
      <w:r w:rsidR="008B780E">
        <w:rPr>
          <w:color w:val="000000"/>
          <w:sz w:val="24"/>
          <w:szCs w:val="24"/>
        </w:rPr>
        <w:t>направленность (профиль)</w:t>
      </w:r>
      <w:r w:rsidRPr="00101722">
        <w:rPr>
          <w:color w:val="000000"/>
          <w:sz w:val="24"/>
          <w:szCs w:val="24"/>
        </w:rPr>
        <w:t xml:space="preserve"> «</w:t>
      </w:r>
      <w:r w:rsidR="00EA67C9">
        <w:rPr>
          <w:color w:val="000000"/>
          <w:sz w:val="24"/>
          <w:szCs w:val="24"/>
        </w:rPr>
        <w:t>Преподавание культурологии и урбанистики</w:t>
      </w:r>
      <w:r w:rsidRPr="0010172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) 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разработку методики 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Pr="00101722">
        <w:rPr>
          <w:color w:val="000000"/>
          <w:sz w:val="24"/>
          <w:szCs w:val="24"/>
        </w:rPr>
        <w:t>городского планирования, развития и управления</w:t>
      </w:r>
      <w:r>
        <w:rPr>
          <w:color w:val="000000"/>
          <w:sz w:val="24"/>
          <w:szCs w:val="24"/>
        </w:rPr>
        <w:t>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97FE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Семиотика городского пространства.</w:t>
      </w:r>
      <w:r>
        <w:rPr>
          <w:rFonts w:ascii="Times New Roman" w:hAnsi="Times New Roman"/>
          <w:sz w:val="24"/>
          <w:szCs w:val="28"/>
        </w:rPr>
        <w:t xml:space="preserve"> Учет семиотической составляющей городского пространства в процессе воспитания личности.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Городские и общественные пространства столицы и провинции: сходства и различия.</w:t>
      </w:r>
      <w:r>
        <w:rPr>
          <w:rFonts w:ascii="Times New Roman" w:hAnsi="Times New Roman"/>
          <w:sz w:val="24"/>
          <w:szCs w:val="28"/>
        </w:rPr>
        <w:t xml:space="preserve"> Специфика патриотического воспитания в столичном и провинциальном городском пространстве.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Городское общественное пространство как хранитель культурных смыслов</w:t>
      </w:r>
      <w:r>
        <w:rPr>
          <w:rFonts w:ascii="Times New Roman" w:hAnsi="Times New Roman"/>
          <w:sz w:val="24"/>
          <w:szCs w:val="28"/>
        </w:rPr>
        <w:t xml:space="preserve"> и источник нравственного формирования личности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Места памяти в городском и общественном пространстве как культурные объекты</w:t>
      </w:r>
      <w:r>
        <w:rPr>
          <w:rFonts w:ascii="Times New Roman" w:hAnsi="Times New Roman"/>
          <w:sz w:val="24"/>
          <w:szCs w:val="28"/>
        </w:rPr>
        <w:t xml:space="preserve"> и как основа патриотического воспитания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«Память места», </w:t>
      </w:r>
      <w:r w:rsidRPr="00B430AA">
        <w:rPr>
          <w:rFonts w:ascii="Times New Roman" w:hAnsi="Times New Roman"/>
          <w:sz w:val="24"/>
          <w:szCs w:val="28"/>
        </w:rPr>
        <w:t>ее роль в формировании культурной идентичности</w:t>
      </w:r>
      <w:r>
        <w:rPr>
          <w:rFonts w:ascii="Times New Roman" w:hAnsi="Times New Roman"/>
          <w:sz w:val="24"/>
          <w:szCs w:val="28"/>
        </w:rPr>
        <w:t xml:space="preserve"> и в процессе патриотического воспитания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Специфика культурной памяти в глобальном мире без границ.</w:t>
      </w:r>
      <w:r>
        <w:rPr>
          <w:rFonts w:ascii="Times New Roman" w:hAnsi="Times New Roman"/>
          <w:sz w:val="24"/>
          <w:szCs w:val="28"/>
        </w:rPr>
        <w:t xml:space="preserve"> Проблема воспитания гражданского сознания в глобальном мире без границ.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Этническая составляющая культурной идентичности и ее влияние на разработку и реализацию культурной политики</w:t>
      </w:r>
      <w:r>
        <w:rPr>
          <w:rFonts w:ascii="Times New Roman" w:hAnsi="Times New Roman"/>
          <w:sz w:val="24"/>
          <w:szCs w:val="28"/>
        </w:rPr>
        <w:t xml:space="preserve"> и педагогической практики</w:t>
      </w:r>
      <w:r w:rsidRPr="00B430AA">
        <w:rPr>
          <w:rFonts w:ascii="Times New Roman" w:hAnsi="Times New Roman"/>
          <w:sz w:val="24"/>
          <w:szCs w:val="28"/>
        </w:rPr>
        <w:t xml:space="preserve"> в поликультурном и поликонфессиональном социуме.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Культурная память в урбанизированном пространстве: стратегии сохранения и экспликации.</w:t>
      </w:r>
      <w:r>
        <w:rPr>
          <w:rFonts w:ascii="Times New Roman" w:hAnsi="Times New Roman"/>
          <w:sz w:val="24"/>
          <w:szCs w:val="28"/>
        </w:rPr>
        <w:t xml:space="preserve"> Культурная память и становление гражданского сознания.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>Город как фактор формирования культурной идентичности</w:t>
      </w:r>
      <w:r>
        <w:rPr>
          <w:rFonts w:ascii="Times New Roman" w:hAnsi="Times New Roman"/>
          <w:sz w:val="24"/>
          <w:szCs w:val="28"/>
        </w:rPr>
        <w:t xml:space="preserve"> и нравственного становления личности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 xml:space="preserve"> Специфика формирования культурной идентичности в условиях современного мегаполиса.</w:t>
      </w:r>
      <w:r>
        <w:rPr>
          <w:rFonts w:ascii="Times New Roman" w:hAnsi="Times New Roman"/>
          <w:sz w:val="24"/>
          <w:szCs w:val="28"/>
        </w:rPr>
        <w:t xml:space="preserve"> Воспитание патриотизма как одной из составляющих культурной идентичности в пространстве современного мегаполиса.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 xml:space="preserve"> Город как социокультурный текст: технологии выстраивания и анализа.</w:t>
      </w:r>
      <w:r>
        <w:rPr>
          <w:rFonts w:ascii="Times New Roman" w:hAnsi="Times New Roman"/>
          <w:sz w:val="24"/>
          <w:szCs w:val="28"/>
        </w:rPr>
        <w:t xml:space="preserve"> Анализ городского социокультурного текста как способ формирования познавательной деятельности личности.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 xml:space="preserve"> Семиотика городского пространства современного мегаполиса.</w:t>
      </w:r>
      <w:r>
        <w:rPr>
          <w:rFonts w:ascii="Times New Roman" w:hAnsi="Times New Roman"/>
          <w:sz w:val="24"/>
          <w:szCs w:val="28"/>
        </w:rPr>
        <w:t xml:space="preserve"> Специфика нравственного воспитания личности в условиях современного мегаполиса.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 xml:space="preserve"> Социокультурное картогр</w:t>
      </w:r>
      <w:r>
        <w:rPr>
          <w:rFonts w:ascii="Times New Roman" w:hAnsi="Times New Roman"/>
          <w:sz w:val="24"/>
          <w:szCs w:val="28"/>
        </w:rPr>
        <w:t>а</w:t>
      </w:r>
      <w:r w:rsidRPr="00B430AA">
        <w:rPr>
          <w:rFonts w:ascii="Times New Roman" w:hAnsi="Times New Roman"/>
          <w:sz w:val="24"/>
          <w:szCs w:val="28"/>
        </w:rPr>
        <w:t>фирование современного города</w:t>
      </w:r>
      <w:r>
        <w:rPr>
          <w:rFonts w:ascii="Times New Roman" w:hAnsi="Times New Roman"/>
          <w:sz w:val="24"/>
          <w:szCs w:val="28"/>
        </w:rPr>
        <w:t xml:space="preserve"> как способ формирования познавательной деятельности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Pr="00B430AA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 w:rsidRPr="00B430AA">
        <w:rPr>
          <w:rFonts w:ascii="Times New Roman" w:hAnsi="Times New Roman"/>
          <w:sz w:val="24"/>
          <w:szCs w:val="28"/>
        </w:rPr>
        <w:t xml:space="preserve"> Культурные универсалии и контексты городского пространства</w:t>
      </w:r>
      <w:r>
        <w:rPr>
          <w:rFonts w:ascii="Times New Roman" w:hAnsi="Times New Roman"/>
          <w:sz w:val="24"/>
          <w:szCs w:val="28"/>
        </w:rPr>
        <w:t xml:space="preserve"> и их роль в воспитании патриотизма</w:t>
      </w:r>
      <w:r w:rsidRPr="00B430AA">
        <w:rPr>
          <w:rFonts w:ascii="Times New Roman" w:hAnsi="Times New Roman"/>
          <w:sz w:val="24"/>
          <w:szCs w:val="28"/>
        </w:rPr>
        <w:t>.</w:t>
      </w:r>
    </w:p>
    <w:p w:rsidR="00EA67C9" w:rsidRDefault="00EA67C9" w:rsidP="00EA67C9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Город как антропоэкосистема и пространство экологического воспитания.</w:t>
      </w:r>
    </w:p>
    <w:p w:rsidR="00497FE8" w:rsidRPr="00701DA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497FE8" w:rsidRPr="00D7403E" w:rsidRDefault="00497FE8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376C5E" w:rsidRPr="00701DA8" w:rsidRDefault="00376C5E" w:rsidP="00376C5E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701DA8">
        <w:rPr>
          <w:rFonts w:ascii="Times New Roman" w:hAnsi="Times New Roman"/>
          <w:color w:val="000000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376C5E" w:rsidRDefault="00376C5E" w:rsidP="00376C5E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</w:rPr>
        <w:t>е (при необходимости).</w:t>
      </w:r>
    </w:p>
    <w:p w:rsidR="00376C5E" w:rsidRPr="002C5965" w:rsidRDefault="00376C5E" w:rsidP="00376C5E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Во</w:t>
      </w:r>
      <w:r w:rsidRPr="002C5965">
        <w:rPr>
          <w:rStyle w:val="af9"/>
          <w:rFonts w:ascii="Times New Roman" w:hAnsi="Times New Roman"/>
          <w:bCs/>
          <w:color w:val="auto"/>
        </w:rPr>
        <w:t xml:space="preserve"> введении </w:t>
      </w:r>
      <w:r w:rsidRPr="002C5965">
        <w:rPr>
          <w:rFonts w:ascii="Times New Roman" w:hAnsi="Times New Roman"/>
          <w:color w:val="auto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376C5E" w:rsidRPr="002C5965" w:rsidRDefault="00376C5E" w:rsidP="00376C5E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376C5E" w:rsidRPr="002C5965" w:rsidRDefault="00376C5E" w:rsidP="00376C5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376C5E" w:rsidRDefault="00376C5E" w:rsidP="00376C5E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</w:t>
      </w:r>
      <w:r w:rsidRPr="000E5989">
        <w:rPr>
          <w:rFonts w:eastAsia="Calibri"/>
        </w:rPr>
        <w:lastRenderedPageBreak/>
        <w:t>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376C5E" w:rsidRPr="002C5965" w:rsidRDefault="00376C5E" w:rsidP="00376C5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376C5E" w:rsidRDefault="00376C5E" w:rsidP="00376C5E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65 </w:t>
      </w:r>
      <w:r w:rsidRPr="00701DA8">
        <w:rPr>
          <w:color w:val="000000"/>
          <w:sz w:val="24"/>
          <w:szCs w:val="24"/>
        </w:rPr>
        <w:t xml:space="preserve">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376C5E" w:rsidRPr="00D36334" w:rsidRDefault="00376C5E" w:rsidP="00376C5E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Pr="00376C5E">
        <w:rPr>
          <w:color w:val="000000"/>
          <w:sz w:val="24"/>
          <w:szCs w:val="24"/>
        </w:rPr>
        <w:t>УК-1; УК-3; УК-5; ОПК-2; ОПК-3; ОПК-4; ОПК-6; ПК-2; ПК-4; ПК-5</w:t>
      </w:r>
      <w:r>
        <w:rPr>
          <w:color w:val="000000"/>
          <w:sz w:val="24"/>
          <w:szCs w:val="24"/>
        </w:rPr>
        <w:t>.</w:t>
      </w:r>
    </w:p>
    <w:p w:rsidR="00376C5E" w:rsidRPr="00701DA8" w:rsidRDefault="00376C5E" w:rsidP="00376C5E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</w:rPr>
      </w:pPr>
      <w:r w:rsidRPr="00701DA8">
        <w:rPr>
          <w:rFonts w:ascii="Times New Roman" w:hAnsi="Times New Roman"/>
          <w:color w:val="000000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>
        <w:rPr>
          <w:rFonts w:ascii="Times New Roman" w:hAnsi="Times New Roman"/>
          <w:color w:val="000000"/>
        </w:rPr>
        <w:t>.</w:t>
      </w:r>
    </w:p>
    <w:p w:rsidR="00376C5E" w:rsidRDefault="00376C5E" w:rsidP="00376C5E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376C5E" w:rsidRPr="008A2F43" w:rsidRDefault="00376C5E" w:rsidP="00376C5E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>, отзыв и 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376C5E" w:rsidRPr="00701DA8" w:rsidRDefault="00376C5E" w:rsidP="00376C5E">
      <w:pPr>
        <w:pStyle w:val="ae"/>
        <w:spacing w:before="0" w:after="0"/>
        <w:ind w:firstLine="709"/>
        <w:rPr>
          <w:rFonts w:ascii="Times New Roman" w:hAnsi="Times New Roman"/>
          <w:color w:val="000000"/>
        </w:rPr>
      </w:pPr>
      <w:r w:rsidRPr="002C5965">
        <w:rPr>
          <w:rFonts w:ascii="Times New Roman" w:hAnsi="Times New Roman"/>
          <w:color w:val="auto"/>
        </w:rPr>
        <w:t>Процедура защиты</w:t>
      </w:r>
      <w:r w:rsidRPr="00701DA8">
        <w:rPr>
          <w:rFonts w:ascii="Times New Roman" w:hAnsi="Times New Roman"/>
          <w:color w:val="000000"/>
        </w:rPr>
        <w:t xml:space="preserve"> ВКР включает:</w:t>
      </w:r>
    </w:p>
    <w:p w:rsidR="00376C5E" w:rsidRPr="00701DA8" w:rsidRDefault="00376C5E" w:rsidP="00376C5E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</w:rPr>
      </w:pPr>
      <w:r w:rsidRPr="00701DA8">
        <w:rPr>
          <w:rStyle w:val="af9"/>
          <w:rFonts w:ascii="Times New Roman" w:hAnsi="Times New Roman"/>
          <w:bCs/>
          <w:color w:val="000000"/>
        </w:rPr>
        <w:t xml:space="preserve">выступление </w:t>
      </w:r>
      <w:r>
        <w:rPr>
          <w:rStyle w:val="af9"/>
          <w:rFonts w:ascii="Times New Roman" w:hAnsi="Times New Roman"/>
          <w:bCs/>
          <w:color w:val="000000"/>
        </w:rPr>
        <w:t>обучающегося</w:t>
      </w:r>
      <w:r w:rsidRPr="00701DA8">
        <w:rPr>
          <w:rStyle w:val="af9"/>
          <w:rFonts w:ascii="Times New Roman" w:hAnsi="Times New Roman"/>
          <w:bCs/>
          <w:color w:val="000000"/>
        </w:rPr>
        <w:t>;</w:t>
      </w:r>
    </w:p>
    <w:p w:rsidR="00376C5E" w:rsidRPr="00701DA8" w:rsidRDefault="00376C5E" w:rsidP="00376C5E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bCs/>
          <w:color w:val="000000"/>
        </w:rPr>
        <w:t xml:space="preserve">ответы </w:t>
      </w:r>
      <w:r>
        <w:rPr>
          <w:rStyle w:val="af9"/>
          <w:bCs/>
          <w:color w:val="000000"/>
        </w:rPr>
        <w:t>обучающегося</w:t>
      </w:r>
      <w:r w:rsidRPr="00701DA8">
        <w:rPr>
          <w:rStyle w:val="af9"/>
          <w:bCs/>
          <w:color w:val="000000"/>
        </w:rPr>
        <w:t xml:space="preserve"> на вопросы, заданные членами </w:t>
      </w:r>
      <w:r w:rsidRPr="00701DA8">
        <w:rPr>
          <w:rStyle w:val="af9"/>
          <w:bCs/>
        </w:rPr>
        <w:t>комиссии;</w:t>
      </w:r>
    </w:p>
    <w:p w:rsidR="00376C5E" w:rsidRDefault="00376C5E" w:rsidP="00376C5E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376C5E" w:rsidRPr="00701DA8" w:rsidRDefault="00376C5E" w:rsidP="00376C5E">
      <w:pPr>
        <w:numPr>
          <w:ilvl w:val="0"/>
          <w:numId w:val="4"/>
        </w:numPr>
        <w:suppressAutoHyphens/>
        <w:jc w:val="both"/>
      </w:pPr>
      <w:r>
        <w:t xml:space="preserve">отзыв рецензента </w:t>
      </w:r>
      <w:r w:rsidRPr="00376C5E">
        <w:rPr>
          <w:i/>
        </w:rPr>
        <w:t>;</w:t>
      </w:r>
    </w:p>
    <w:p w:rsidR="00376C5E" w:rsidRDefault="00376C5E" w:rsidP="00376C5E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376C5E" w:rsidRPr="002C5965" w:rsidRDefault="00376C5E" w:rsidP="00376C5E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Default="00497FE8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Pr="003330F7" w:rsidRDefault="00497FE8" w:rsidP="0010172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97FE8" w:rsidRPr="00EA67C9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В., Горелов В. П.</w:t>
      </w:r>
      <w:r w:rsidRPr="00617424">
        <w:rPr>
          <w:color w:val="000000"/>
          <w:sz w:val="24"/>
          <w:szCs w:val="24"/>
        </w:rPr>
        <w:t>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>М.</w:t>
      </w:r>
      <w:r w:rsidRPr="00101722">
        <w:rPr>
          <w:color w:val="000000"/>
          <w:sz w:val="24"/>
          <w:szCs w:val="24"/>
        </w:rPr>
        <w:t>;</w:t>
      </w:r>
      <w:r w:rsidRPr="00617424">
        <w:rPr>
          <w:color w:val="000000"/>
          <w:sz w:val="24"/>
          <w:szCs w:val="24"/>
        </w:rPr>
        <w:t xml:space="preserve"> Берлин: Директ-Медиа, 2016. - 534 c. </w:t>
      </w:r>
      <w:r>
        <w:rPr>
          <w:color w:val="000000"/>
          <w:sz w:val="24"/>
          <w:szCs w:val="24"/>
        </w:rPr>
        <w:t>(</w:t>
      </w:r>
      <w:hyperlink r:id="rId7" w:history="1">
        <w:r w:rsidR="008B780E" w:rsidRPr="002A58A6">
          <w:rPr>
            <w:rStyle w:val="af2"/>
            <w:sz w:val="24"/>
            <w:szCs w:val="24"/>
          </w:rPr>
          <w:t>https://biblioclub.ru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);</w:t>
      </w:r>
      <w:r w:rsidRPr="00EC7661">
        <w:rPr>
          <w:color w:val="000000"/>
          <w:sz w:val="24"/>
          <w:szCs w:val="24"/>
        </w:rPr>
        <w:t xml:space="preserve"> </w:t>
      </w:r>
    </w:p>
    <w:p w:rsidR="00497FE8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hyperlink r:id="rId8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Родионова Д. Д.</w:t>
      </w:r>
      <w:r w:rsidRPr="00E2067D">
        <w:rPr>
          <w:color w:val="000000"/>
          <w:sz w:val="24"/>
          <w:szCs w:val="24"/>
        </w:rPr>
        <w:t>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hyperlink r:id="rId9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hyperlink r:id="rId10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2017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11" w:history="1">
        <w:r w:rsidR="008B780E" w:rsidRPr="002A58A6">
          <w:rPr>
            <w:rStyle w:val="af2"/>
            <w:sz w:val="24"/>
            <w:szCs w:val="24"/>
            <w:lang w:val="en-US"/>
          </w:rPr>
          <w:t>https</w:t>
        </w:r>
        <w:r w:rsidR="008B780E" w:rsidRPr="002A58A6">
          <w:rPr>
            <w:rStyle w:val="af2"/>
            <w:sz w:val="24"/>
            <w:szCs w:val="24"/>
          </w:rPr>
          <w:t>://</w:t>
        </w:r>
        <w:r w:rsidR="008B780E" w:rsidRPr="002A58A6">
          <w:rPr>
            <w:rStyle w:val="af2"/>
            <w:sz w:val="24"/>
            <w:szCs w:val="24"/>
            <w:lang w:val="en-US"/>
          </w:rPr>
          <w:t>biblioclub</w:t>
        </w:r>
        <w:r w:rsidR="008B780E" w:rsidRPr="002A58A6">
          <w:rPr>
            <w:rStyle w:val="af2"/>
            <w:sz w:val="24"/>
            <w:szCs w:val="24"/>
          </w:rPr>
          <w:t>.</w:t>
        </w:r>
        <w:r w:rsidR="008B780E" w:rsidRPr="002A58A6">
          <w:rPr>
            <w:rStyle w:val="af2"/>
            <w:sz w:val="24"/>
            <w:szCs w:val="24"/>
            <w:lang w:val="en-US"/>
          </w:rPr>
          <w:t>ru</w:t>
        </w:r>
        <w:r w:rsidR="008B780E" w:rsidRPr="002A58A6">
          <w:rPr>
            <w:rStyle w:val="af2"/>
            <w:sz w:val="24"/>
            <w:szCs w:val="24"/>
          </w:rPr>
          <w:t>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4561B0">
        <w:rPr>
          <w:color w:val="000000"/>
          <w:sz w:val="24"/>
          <w:szCs w:val="24"/>
        </w:rPr>
        <w:t>).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lastRenderedPageBreak/>
        <w:t>Афанасьев В.В., Грибкова О.В. и др. Методология и методы научного исследования. М.: Моск. гор. пед. Университет,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t>Горовая В.И. Научно-исследовательская работа. Ставрополь: Северо-Кавк.ФУ,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t>Мокий М.С., Никифоров А.Л. и др. Методология научного исследования. М.: РЭН им. Г.В. Плеханова,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t>Неумоева-Колчеданиева Е.В. Основы научной деятельности студента. Тюмень: Тюм.ГУ,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t>Байбородова Л.В., Чернявская А.П. Методология и методы научного исследования. Ярославль: ЯрГУ им. К.Д. Ушинского, 2022.</w:t>
      </w:r>
    </w:p>
    <w:p w:rsidR="00EA67C9" w:rsidRPr="004561B0" w:rsidRDefault="00EA67C9" w:rsidP="00EA67C9">
      <w:pPr>
        <w:pStyle w:val="11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  <w:jc w:val="both"/>
        <w:rPr>
          <w:color w:val="000000"/>
          <w:sz w:val="24"/>
          <w:szCs w:val="24"/>
        </w:rPr>
      </w:pPr>
    </w:p>
    <w:p w:rsidR="00497FE8" w:rsidRDefault="00497FE8" w:rsidP="00101722">
      <w:pPr>
        <w:jc w:val="both"/>
        <w:rPr>
          <w:b/>
          <w:bCs/>
        </w:rPr>
      </w:pPr>
    </w:p>
    <w:p w:rsidR="00497FE8" w:rsidRDefault="00497FE8" w:rsidP="00101722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376C5E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2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376C5E" w:rsidRPr="00CE2E13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497FE8" w:rsidRDefault="00497FE8" w:rsidP="00D36334">
      <w:pPr>
        <w:tabs>
          <w:tab w:val="left" w:pos="567"/>
        </w:tabs>
        <w:ind w:left="284" w:hanging="284"/>
        <w:jc w:val="both"/>
        <w:rPr>
          <w:b/>
          <w:bCs/>
        </w:rPr>
      </w:pPr>
    </w:p>
    <w:sectPr w:rsidR="00497FE8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83" w:rsidRDefault="00D47783">
      <w:r>
        <w:separator/>
      </w:r>
    </w:p>
  </w:endnote>
  <w:endnote w:type="continuationSeparator" w:id="0">
    <w:p w:rsidR="00D47783" w:rsidRDefault="00D4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83" w:rsidRDefault="00D47783">
      <w:r>
        <w:separator/>
      </w:r>
    </w:p>
  </w:footnote>
  <w:footnote w:type="continuationSeparator" w:id="0">
    <w:p w:rsidR="00D47783" w:rsidRDefault="00D4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E8" w:rsidRDefault="00497FE8" w:rsidP="0014477D">
    <w:pPr>
      <w:pStyle w:val="a6"/>
      <w:framePr w:wrap="auto" w:vAnchor="text" w:hAnchor="margin" w:xAlign="right" w:y="1"/>
      <w:rPr>
        <w:rStyle w:val="a8"/>
      </w:rPr>
    </w:pPr>
  </w:p>
  <w:p w:rsidR="00497FE8" w:rsidRDefault="00497F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D0633"/>
    <w:multiLevelType w:val="hybridMultilevel"/>
    <w:tmpl w:val="2D72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111"/>
    <w:multiLevelType w:val="hybridMultilevel"/>
    <w:tmpl w:val="F712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C75867"/>
    <w:multiLevelType w:val="hybridMultilevel"/>
    <w:tmpl w:val="F202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C03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2589"/>
    <w:rsid w:val="0006461A"/>
    <w:rsid w:val="00065678"/>
    <w:rsid w:val="00065855"/>
    <w:rsid w:val="00080264"/>
    <w:rsid w:val="000962CB"/>
    <w:rsid w:val="000A1196"/>
    <w:rsid w:val="000A17AE"/>
    <w:rsid w:val="000B12C2"/>
    <w:rsid w:val="000C1225"/>
    <w:rsid w:val="000C16E3"/>
    <w:rsid w:val="000C266A"/>
    <w:rsid w:val="000C7AAA"/>
    <w:rsid w:val="000D0167"/>
    <w:rsid w:val="000D7B50"/>
    <w:rsid w:val="000E5989"/>
    <w:rsid w:val="000F1C9C"/>
    <w:rsid w:val="000F23C3"/>
    <w:rsid w:val="000F420F"/>
    <w:rsid w:val="000F461D"/>
    <w:rsid w:val="000F589C"/>
    <w:rsid w:val="000F5976"/>
    <w:rsid w:val="000F5C62"/>
    <w:rsid w:val="00101252"/>
    <w:rsid w:val="0010172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95524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5D0C"/>
    <w:rsid w:val="00376C5E"/>
    <w:rsid w:val="00381412"/>
    <w:rsid w:val="00384D63"/>
    <w:rsid w:val="00385E56"/>
    <w:rsid w:val="003904D5"/>
    <w:rsid w:val="00390C2C"/>
    <w:rsid w:val="00395E94"/>
    <w:rsid w:val="003971CC"/>
    <w:rsid w:val="003A03B5"/>
    <w:rsid w:val="003A1551"/>
    <w:rsid w:val="003A2FB9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70D55"/>
    <w:rsid w:val="00471090"/>
    <w:rsid w:val="00474EFB"/>
    <w:rsid w:val="00475B0E"/>
    <w:rsid w:val="00483CA6"/>
    <w:rsid w:val="00491414"/>
    <w:rsid w:val="00497FE8"/>
    <w:rsid w:val="004A0EB5"/>
    <w:rsid w:val="004A60D4"/>
    <w:rsid w:val="004A7D3E"/>
    <w:rsid w:val="004B2FA5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002F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53E34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46CA"/>
    <w:rsid w:val="006D5916"/>
    <w:rsid w:val="006E7CAF"/>
    <w:rsid w:val="006F0E83"/>
    <w:rsid w:val="00701DA8"/>
    <w:rsid w:val="0070492D"/>
    <w:rsid w:val="00710144"/>
    <w:rsid w:val="00710BE0"/>
    <w:rsid w:val="007130FA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1B35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6FC8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80E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03C3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3AA1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2081"/>
    <w:rsid w:val="00B16E06"/>
    <w:rsid w:val="00B16F29"/>
    <w:rsid w:val="00B24ED5"/>
    <w:rsid w:val="00B30FFD"/>
    <w:rsid w:val="00B31E99"/>
    <w:rsid w:val="00B430AA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63F77"/>
    <w:rsid w:val="00C66E11"/>
    <w:rsid w:val="00C74CC2"/>
    <w:rsid w:val="00C76521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47783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2BA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1344"/>
    <w:rsid w:val="00DD4777"/>
    <w:rsid w:val="00DE4FFA"/>
    <w:rsid w:val="00DF3BED"/>
    <w:rsid w:val="00E00305"/>
    <w:rsid w:val="00E01BF0"/>
    <w:rsid w:val="00E02F82"/>
    <w:rsid w:val="00E03DDE"/>
    <w:rsid w:val="00E04170"/>
    <w:rsid w:val="00E06C4E"/>
    <w:rsid w:val="00E07117"/>
    <w:rsid w:val="00E07958"/>
    <w:rsid w:val="00E13A81"/>
    <w:rsid w:val="00E2067D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7C9"/>
    <w:rsid w:val="00EA6A79"/>
    <w:rsid w:val="00EB0D70"/>
    <w:rsid w:val="00EB3693"/>
    <w:rsid w:val="00EB3B1E"/>
    <w:rsid w:val="00EB49FD"/>
    <w:rsid w:val="00EC4425"/>
    <w:rsid w:val="00EC4EAC"/>
    <w:rsid w:val="00EC69C9"/>
    <w:rsid w:val="00EC7661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2915"/>
    <w:rsid w:val="00F44F62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40B6"/>
    <w:rsid w:val="00F9434D"/>
    <w:rsid w:val="00F9570D"/>
    <w:rsid w:val="00FA24D2"/>
    <w:rsid w:val="00FA4751"/>
    <w:rsid w:val="00FA4B17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E1A0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69A826-1901-4319-9D55-69FC75F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basedOn w:val="a1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  <w:rPr>
      <w:sz w:val="20"/>
      <w:szCs w:val="20"/>
    </w:rPr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  <w:rPr>
      <w:sz w:val="20"/>
      <w:szCs w:val="20"/>
    </w:rPr>
  </w:style>
  <w:style w:type="numbering" w:customStyle="1" w:styleId="1">
    <w:name w:val="Список1"/>
    <w:rsid w:val="00230BC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7</cp:revision>
  <cp:lastPrinted>2018-11-14T08:24:00Z</cp:lastPrinted>
  <dcterms:created xsi:type="dcterms:W3CDTF">2022-03-29T13:06:00Z</dcterms:created>
  <dcterms:modified xsi:type="dcterms:W3CDTF">2023-05-20T10:38:00Z</dcterms:modified>
</cp:coreProperties>
</file>