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1240F" w:rsidRPr="0071240F" w:rsidRDefault="0071240F" w:rsidP="0071240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sz w:val="24"/>
          <w:szCs w:val="24"/>
        </w:rPr>
      </w:pPr>
      <w:r w:rsidRPr="0071240F">
        <w:rPr>
          <w:b/>
          <w:bCs/>
          <w:sz w:val="24"/>
          <w:szCs w:val="24"/>
        </w:rPr>
        <w:t>Б</w:t>
      </w:r>
      <w:proofErr w:type="gramStart"/>
      <w:r w:rsidRPr="0071240F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О</w:t>
      </w:r>
      <w:r w:rsidRPr="0071240F">
        <w:rPr>
          <w:b/>
          <w:bCs/>
          <w:sz w:val="24"/>
          <w:szCs w:val="24"/>
        </w:rPr>
        <w:t>.</w:t>
      </w:r>
      <w:proofErr w:type="gramEnd"/>
      <w:r w:rsidRPr="0071240F">
        <w:rPr>
          <w:b/>
          <w:bCs/>
          <w:sz w:val="24"/>
          <w:szCs w:val="24"/>
        </w:rPr>
        <w:t>12. АРБИТРАЖНЫЙ ПРОЦЕСС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1240F" w:rsidRPr="0071240F" w:rsidRDefault="0071240F" w:rsidP="0071240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1240F">
        <w:rPr>
          <w:sz w:val="24"/>
          <w:szCs w:val="24"/>
        </w:rPr>
        <w:t>Направление подготовки</w:t>
      </w:r>
      <w:r w:rsidRPr="0071240F">
        <w:rPr>
          <w:b/>
          <w:sz w:val="24"/>
          <w:szCs w:val="24"/>
        </w:rPr>
        <w:t>40.03.01 Юриспруденция</w:t>
      </w:r>
    </w:p>
    <w:p w:rsidR="0071240F" w:rsidRPr="0071240F" w:rsidRDefault="0071240F" w:rsidP="0071240F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71240F">
        <w:rPr>
          <w:sz w:val="24"/>
          <w:szCs w:val="24"/>
        </w:rPr>
        <w:t xml:space="preserve">Направленность (профиль) </w:t>
      </w:r>
      <w:r w:rsidR="008E378A">
        <w:rPr>
          <w:b/>
          <w:sz w:val="24"/>
          <w:szCs w:val="24"/>
        </w:rPr>
        <w:t>Уголовное право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71240F">
        <w:rPr>
          <w:bCs/>
          <w:sz w:val="24"/>
          <w:szCs w:val="24"/>
        </w:rPr>
        <w:t>2</w:t>
      </w:r>
      <w:r w:rsidR="000172D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1240F">
        <w:rPr>
          <w:sz w:val="24"/>
          <w:szCs w:val="24"/>
        </w:rPr>
        <w:t>20</w:t>
      </w:r>
      <w:r w:rsidR="0071240F" w:rsidRPr="0071240F">
        <w:rPr>
          <w:sz w:val="24"/>
          <w:szCs w:val="24"/>
        </w:rPr>
        <w:t>2</w:t>
      </w:r>
      <w:r w:rsidR="000172D6">
        <w:rPr>
          <w:sz w:val="24"/>
          <w:szCs w:val="24"/>
        </w:rPr>
        <w:t>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71240F" w:rsidRDefault="0071240F" w:rsidP="0071240F">
      <w:pPr>
        <w:pStyle w:val="a7"/>
        <w:spacing w:line="240" w:lineRule="auto"/>
        <w:rPr>
          <w:color w:val="000000"/>
          <w:sz w:val="24"/>
          <w:szCs w:val="24"/>
        </w:rPr>
      </w:pPr>
    </w:p>
    <w:p w:rsidR="00920D08" w:rsidRDefault="00920D08" w:rsidP="0071240F">
      <w:pPr>
        <w:pStyle w:val="a7"/>
        <w:spacing w:line="240" w:lineRule="auto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71240F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20D08" w:rsidRPr="007723E4" w:rsidRDefault="00920D08" w:rsidP="0071240F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1240F" w:rsidRPr="0071240F" w:rsidTr="0071240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1240F" w:rsidRPr="0071240F" w:rsidTr="0071240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 совокупность взаимосвязанных задач, обеспечивающих достижение поставленной цели</w:t>
            </w:r>
          </w:p>
        </w:tc>
      </w:tr>
      <w:tr w:rsidR="0071240F" w:rsidRPr="0071240F" w:rsidTr="0071240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71240F" w:rsidRPr="0071240F" w:rsidTr="0071240F">
        <w:trPr>
          <w:trHeight w:val="3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71240F" w:rsidRPr="0071240F" w:rsidTr="0071240F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71240F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71240F" w:rsidRPr="0071240F" w:rsidTr="0071240F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71240F" w:rsidRPr="0071240F" w:rsidTr="0071240F">
        <w:trPr>
          <w:trHeight w:val="27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ОПК-4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71240F" w:rsidRPr="0071240F" w:rsidTr="0071240F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1240F" w:rsidRPr="0071240F" w:rsidTr="0071240F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71240F" w:rsidRPr="0071240F" w:rsidTr="0071240F">
        <w:trPr>
          <w:trHeight w:val="43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ОПК-6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 xml:space="preserve">Способен участвовать в подготовке проектов </w:t>
            </w:r>
            <w:r w:rsidRPr="0071240F">
              <w:rPr>
                <w:sz w:val="24"/>
                <w:szCs w:val="24"/>
              </w:rPr>
              <w:lastRenderedPageBreak/>
              <w:t>нормативных правовых актов и иных юридических документов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lastRenderedPageBreak/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71240F" w:rsidRPr="0071240F" w:rsidTr="0071240F">
        <w:trPr>
          <w:trHeight w:val="3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 -6.2. Выделяет особенности различных видов нормативных правовых актов и иных юридических документов</w:t>
            </w:r>
          </w:p>
        </w:tc>
      </w:tr>
      <w:tr w:rsidR="0071240F" w:rsidRPr="0071240F" w:rsidTr="0071240F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1240F" w:rsidRPr="0071240F" w:rsidRDefault="0071240F" w:rsidP="0071240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1240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1240F" w:rsidRPr="0071240F">
        <w:rPr>
          <w:color w:val="000000"/>
          <w:sz w:val="24"/>
          <w:szCs w:val="24"/>
        </w:rPr>
        <w:t>овладение студентами знаниями об арбитражной процессуальной форме защиты прав и законных интересов лиц.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1240F" w:rsidRPr="0071240F" w:rsidRDefault="0071240F" w:rsidP="0071240F">
      <w:pPr>
        <w:ind w:firstLine="527"/>
        <w:rPr>
          <w:color w:val="000000"/>
          <w:sz w:val="24"/>
          <w:szCs w:val="24"/>
          <w:lang w:eastAsia="ru-RU"/>
        </w:rPr>
      </w:pPr>
      <w:r w:rsidRPr="0071240F">
        <w:rPr>
          <w:color w:val="000000"/>
          <w:sz w:val="24"/>
          <w:szCs w:val="24"/>
          <w:lang w:eastAsia="ru-RU"/>
        </w:rPr>
        <w:t>усвоение положений теории арбитражного процессуального права, сущности деятельности арбитражного суда по осуществлению арбитражного судопроизводства;</w:t>
      </w:r>
    </w:p>
    <w:p w:rsidR="0071240F" w:rsidRPr="0071240F" w:rsidRDefault="0071240F" w:rsidP="0071240F">
      <w:pPr>
        <w:ind w:firstLine="527"/>
        <w:rPr>
          <w:color w:val="000000"/>
          <w:sz w:val="24"/>
          <w:szCs w:val="24"/>
          <w:lang w:eastAsia="ru-RU"/>
        </w:rPr>
      </w:pPr>
      <w:r w:rsidRPr="0071240F">
        <w:rPr>
          <w:color w:val="000000"/>
          <w:sz w:val="24"/>
          <w:szCs w:val="24"/>
          <w:lang w:eastAsia="ru-RU"/>
        </w:rPr>
        <w:t>-</w:t>
      </w:r>
      <w:r w:rsidRPr="0071240F">
        <w:rPr>
          <w:color w:val="000000"/>
          <w:sz w:val="24"/>
          <w:szCs w:val="24"/>
          <w:lang w:eastAsia="ru-RU"/>
        </w:rPr>
        <w:tab/>
        <w:t>выработка умений и навыков применения арбитражных процессуальных норм к конкретным ситуациям;</w:t>
      </w:r>
    </w:p>
    <w:p w:rsidR="0071240F" w:rsidRPr="0071240F" w:rsidRDefault="0071240F" w:rsidP="0071240F">
      <w:pPr>
        <w:ind w:firstLine="527"/>
        <w:rPr>
          <w:color w:val="000000"/>
          <w:sz w:val="24"/>
          <w:szCs w:val="24"/>
          <w:lang w:eastAsia="ru-RU"/>
        </w:rPr>
      </w:pPr>
      <w:r w:rsidRPr="0071240F">
        <w:rPr>
          <w:color w:val="000000"/>
          <w:sz w:val="24"/>
          <w:szCs w:val="24"/>
          <w:lang w:eastAsia="ru-RU"/>
        </w:rPr>
        <w:t>-</w:t>
      </w:r>
      <w:r w:rsidRPr="0071240F">
        <w:rPr>
          <w:color w:val="000000"/>
          <w:sz w:val="24"/>
          <w:szCs w:val="24"/>
          <w:lang w:eastAsia="ru-RU"/>
        </w:rPr>
        <w:tab/>
        <w:t>обретение навыков принятия правильных решений по спорам, отнесенным к подведомственности арбитражных судов, и подготовки процессуальных документов;</w:t>
      </w:r>
    </w:p>
    <w:p w:rsidR="0071240F" w:rsidRPr="0071240F" w:rsidRDefault="0071240F" w:rsidP="0071240F">
      <w:pPr>
        <w:ind w:firstLine="527"/>
        <w:rPr>
          <w:color w:val="000000"/>
          <w:sz w:val="24"/>
          <w:szCs w:val="24"/>
          <w:lang w:eastAsia="ru-RU"/>
        </w:rPr>
      </w:pPr>
      <w:r w:rsidRPr="0071240F">
        <w:rPr>
          <w:color w:val="000000"/>
          <w:sz w:val="24"/>
          <w:szCs w:val="24"/>
          <w:lang w:eastAsia="ru-RU"/>
        </w:rPr>
        <w:t>-</w:t>
      </w:r>
      <w:r w:rsidRPr="0071240F">
        <w:rPr>
          <w:color w:val="000000"/>
          <w:sz w:val="24"/>
          <w:szCs w:val="24"/>
          <w:lang w:eastAsia="ru-RU"/>
        </w:rPr>
        <w:tab/>
        <w:t>формирование убежденности в необходимости строжайшего соблюдения законности и чувства ответственности за правильное разрешение гражданско-правовых споров.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1240F" w:rsidRPr="0071240F" w:rsidRDefault="0071240F" w:rsidP="0071240F">
      <w:pPr>
        <w:spacing w:line="240" w:lineRule="auto"/>
        <w:ind w:firstLine="720"/>
        <w:rPr>
          <w:sz w:val="24"/>
          <w:szCs w:val="24"/>
        </w:rPr>
      </w:pPr>
      <w:r w:rsidRPr="0071240F">
        <w:rPr>
          <w:sz w:val="24"/>
          <w:szCs w:val="24"/>
        </w:rPr>
        <w:t>Общая трудоемкость освоения дисциплины составляет 5 зачетных единиц, 180 академических часов.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71240F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71240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71240F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71240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71240F" w:rsidP="007124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D3CA3" w:rsidRPr="003C0E55" w:rsidTr="0071240F">
        <w:tc>
          <w:tcPr>
            <w:tcW w:w="6525" w:type="dxa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71240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71240F" w:rsidP="007124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7124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7124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1240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7124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-/</w:t>
            </w:r>
            <w:r w:rsidR="0071240F">
              <w:rPr>
                <w:sz w:val="24"/>
                <w:szCs w:val="24"/>
              </w:rPr>
              <w:t>54</w:t>
            </w:r>
          </w:p>
        </w:tc>
      </w:tr>
      <w:tr w:rsidR="00AD3CA3" w:rsidRPr="003C0E55" w:rsidTr="0071240F">
        <w:tc>
          <w:tcPr>
            <w:tcW w:w="6525" w:type="dxa"/>
            <w:shd w:val="clear" w:color="auto" w:fill="E0E0E0"/>
          </w:tcPr>
          <w:p w:rsidR="00AD3CA3" w:rsidRPr="003C0E55" w:rsidRDefault="00AD3CA3" w:rsidP="0071240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71240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D3CA3" w:rsidRPr="003C0E55" w:rsidTr="0071240F">
        <w:tc>
          <w:tcPr>
            <w:tcW w:w="6525" w:type="dxa"/>
            <w:shd w:val="clear" w:color="auto" w:fill="E0E0E0"/>
          </w:tcPr>
          <w:p w:rsidR="00AD3CA3" w:rsidRPr="003C0E55" w:rsidRDefault="00AD3CA3" w:rsidP="0071240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7124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71240F">
        <w:tc>
          <w:tcPr>
            <w:tcW w:w="6525" w:type="dxa"/>
            <w:shd w:val="clear" w:color="auto" w:fill="auto"/>
          </w:tcPr>
          <w:p w:rsidR="00AD3CA3" w:rsidRPr="00920D08" w:rsidRDefault="00AD3CA3" w:rsidP="0071240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7124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71240F">
        <w:tc>
          <w:tcPr>
            <w:tcW w:w="6525" w:type="dxa"/>
            <w:shd w:val="clear" w:color="auto" w:fill="auto"/>
          </w:tcPr>
          <w:p w:rsidR="00AD3CA3" w:rsidRPr="00920D08" w:rsidRDefault="00AD3CA3" w:rsidP="0071240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7124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71240F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71240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71240F" w:rsidP="0071240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B01EA5" w:rsidRPr="003C0E55" w:rsidRDefault="00B01EA5" w:rsidP="00B01EA5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01EA5" w:rsidRPr="003C0E55" w:rsidTr="00F43910">
        <w:trPr>
          <w:trHeight w:val="247"/>
        </w:trPr>
        <w:tc>
          <w:tcPr>
            <w:tcW w:w="6525" w:type="dxa"/>
            <w:shd w:val="clear" w:color="auto" w:fill="auto"/>
          </w:tcPr>
          <w:p w:rsidR="00B01EA5" w:rsidRPr="003C0E55" w:rsidRDefault="00B01EA5" w:rsidP="00F4391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01EA5" w:rsidRPr="003C0E55" w:rsidRDefault="00B01EA5" w:rsidP="00F4391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01EA5" w:rsidRPr="003C0E55" w:rsidTr="00F43910">
        <w:trPr>
          <w:trHeight w:val="247"/>
        </w:trPr>
        <w:tc>
          <w:tcPr>
            <w:tcW w:w="6525" w:type="dxa"/>
            <w:shd w:val="clear" w:color="auto" w:fill="auto"/>
          </w:tcPr>
          <w:p w:rsidR="00B01EA5" w:rsidRPr="003C0E55" w:rsidRDefault="00B01EA5" w:rsidP="00F4391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01EA5" w:rsidRPr="003C0E55" w:rsidRDefault="00B01EA5" w:rsidP="00F4391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01EA5" w:rsidRPr="00AD3CA3" w:rsidRDefault="00B01EA5" w:rsidP="00F4391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01EA5" w:rsidRPr="003C0E55" w:rsidTr="00F43910">
        <w:trPr>
          <w:trHeight w:val="239"/>
        </w:trPr>
        <w:tc>
          <w:tcPr>
            <w:tcW w:w="6525" w:type="dxa"/>
            <w:shd w:val="clear" w:color="auto" w:fill="E0E0E0"/>
          </w:tcPr>
          <w:p w:rsidR="00B01EA5" w:rsidRPr="003C0E55" w:rsidRDefault="00B01EA5" w:rsidP="00F4391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01EA5" w:rsidRPr="003C0E55" w:rsidRDefault="00B01EA5" w:rsidP="00F4391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01EA5" w:rsidRPr="003C0E55" w:rsidTr="00F43910">
        <w:tc>
          <w:tcPr>
            <w:tcW w:w="6525" w:type="dxa"/>
            <w:shd w:val="clear" w:color="auto" w:fill="auto"/>
          </w:tcPr>
          <w:p w:rsidR="00B01EA5" w:rsidRPr="003C0E55" w:rsidRDefault="00B01EA5" w:rsidP="00F4391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01EA5" w:rsidRPr="003C0E55" w:rsidRDefault="00B01EA5" w:rsidP="00F4391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01EA5" w:rsidRPr="003C0E55" w:rsidTr="00F43910">
        <w:tc>
          <w:tcPr>
            <w:tcW w:w="6525" w:type="dxa"/>
            <w:shd w:val="clear" w:color="auto" w:fill="auto"/>
          </w:tcPr>
          <w:p w:rsidR="00B01EA5" w:rsidRPr="003C0E55" w:rsidRDefault="00B01EA5" w:rsidP="00F4391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01EA5" w:rsidRPr="003C0E55" w:rsidRDefault="00B01EA5" w:rsidP="00F4391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01EA5" w:rsidRPr="003C0E55" w:rsidRDefault="00B01EA5" w:rsidP="00F4391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B01EA5" w:rsidRPr="003C0E55" w:rsidTr="00F43910">
        <w:tc>
          <w:tcPr>
            <w:tcW w:w="6525" w:type="dxa"/>
            <w:shd w:val="clear" w:color="auto" w:fill="auto"/>
          </w:tcPr>
          <w:p w:rsidR="00B01EA5" w:rsidRPr="003C0E55" w:rsidRDefault="00B01EA5" w:rsidP="00F4391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01EA5" w:rsidRPr="003C0E55" w:rsidRDefault="00B01EA5" w:rsidP="00F4391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01EA5" w:rsidRPr="003C0E55" w:rsidRDefault="00B01EA5" w:rsidP="00B01E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34</w:t>
            </w:r>
          </w:p>
        </w:tc>
      </w:tr>
      <w:tr w:rsidR="00B01EA5" w:rsidRPr="003C0E55" w:rsidTr="00F43910">
        <w:tc>
          <w:tcPr>
            <w:tcW w:w="6525" w:type="dxa"/>
            <w:shd w:val="clear" w:color="auto" w:fill="E0E0E0"/>
          </w:tcPr>
          <w:p w:rsidR="00B01EA5" w:rsidRPr="003C0E55" w:rsidRDefault="00B01EA5" w:rsidP="00F4391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01EA5" w:rsidRPr="003C0E55" w:rsidRDefault="00B01EA5" w:rsidP="00F4391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B01EA5" w:rsidRPr="003C0E55" w:rsidTr="00F43910">
        <w:tc>
          <w:tcPr>
            <w:tcW w:w="6525" w:type="dxa"/>
            <w:shd w:val="clear" w:color="auto" w:fill="E0E0E0"/>
          </w:tcPr>
          <w:p w:rsidR="00B01EA5" w:rsidRPr="003C0E55" w:rsidRDefault="00B01EA5" w:rsidP="00F4391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01EA5" w:rsidRPr="003C0E55" w:rsidRDefault="00B01EA5" w:rsidP="00F4391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B01EA5" w:rsidRPr="003C0E55" w:rsidTr="00F43910">
        <w:tc>
          <w:tcPr>
            <w:tcW w:w="6525" w:type="dxa"/>
            <w:shd w:val="clear" w:color="auto" w:fill="auto"/>
          </w:tcPr>
          <w:p w:rsidR="00B01EA5" w:rsidRPr="00920D08" w:rsidRDefault="00B01EA5" w:rsidP="00F4391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01EA5" w:rsidRPr="003C0E55" w:rsidRDefault="00B01EA5" w:rsidP="00F4391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B01EA5" w:rsidRPr="003C0E55" w:rsidTr="00F43910">
        <w:tc>
          <w:tcPr>
            <w:tcW w:w="6525" w:type="dxa"/>
            <w:shd w:val="clear" w:color="auto" w:fill="auto"/>
          </w:tcPr>
          <w:p w:rsidR="00B01EA5" w:rsidRPr="00920D08" w:rsidRDefault="00B01EA5" w:rsidP="00F4391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01EA5" w:rsidRPr="003C0E55" w:rsidRDefault="00B01EA5" w:rsidP="00F4391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B01EA5" w:rsidRPr="003C0E55" w:rsidTr="00F43910">
        <w:trPr>
          <w:trHeight w:val="173"/>
        </w:trPr>
        <w:tc>
          <w:tcPr>
            <w:tcW w:w="6525" w:type="dxa"/>
            <w:shd w:val="clear" w:color="auto" w:fill="E0E0E0"/>
          </w:tcPr>
          <w:p w:rsidR="00B01EA5" w:rsidRPr="003C0E55" w:rsidRDefault="00B01EA5" w:rsidP="00F4391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01EA5" w:rsidRPr="003C0E55" w:rsidRDefault="00B01EA5" w:rsidP="00F4391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:rsidR="00B01EA5" w:rsidRDefault="00B01EA5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71240F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71240F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71240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80109" w:rsidRPr="003C0E55" w:rsidTr="0071240F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71240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71240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71240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240F">
              <w:rPr>
                <w:sz w:val="24"/>
                <w:szCs w:val="24"/>
              </w:rPr>
              <w:t>-/</w:t>
            </w:r>
            <w:r w:rsidR="0071240F">
              <w:rPr>
                <w:sz w:val="24"/>
                <w:szCs w:val="24"/>
              </w:rPr>
              <w:t>14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71240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71240F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71240F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71240F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71240F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71240F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71240F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71240F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7124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1.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Понятие арбитражного процессуального права. Предмет и система.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2.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Система арбитражных судов в РФ.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3.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Принципы арбитражного процессуального права.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4.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Подведомственность и подсудность дел арбитражному суду.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5.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Понятие участников арбитражного процессуального права.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6.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Представительство в арбитражном процессе.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>7.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Доказывание и доказательства в арбитражном процессе.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8.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Иск и право на иск в арбитражном процессе.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9.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Судебные расходы. Судебные штрафы. Процессуальные сроки в арбитражном процессе.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10.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Предъявление иска и возбуждение дела в арбитражном процессе.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11.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Подготовка дел к судебному разбирательству.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12.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Судебное разбирательство в арбитражном суде I инстанции.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13.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Постановления арбитражного суда I инстанции.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14.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Производство по делам, возникающим из административных и иных публичных правоотношений.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15.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Особенности производства по отдельным категориям дел.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16.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Производство по делам с участием иностранных лиц.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17.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Производство по делам об оспаривании решений третейских судов и о выдаче исполнительных листов на принудительное исполнение решений третейских судов.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18.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Производство в арбитражном суде апелляционной инстанции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1240F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19.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Производство в арбитражном суде кассационной инстанции.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1240F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20.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Производство в порядке надзора.</w:t>
            </w:r>
          </w:p>
        </w:tc>
      </w:tr>
      <w:tr w:rsidR="0071240F" w:rsidRPr="0071240F" w:rsidTr="0071240F">
        <w:tc>
          <w:tcPr>
            <w:tcW w:w="693" w:type="dxa"/>
            <w:shd w:val="clear" w:color="auto" w:fill="auto"/>
          </w:tcPr>
          <w:p w:rsidR="0071240F" w:rsidRPr="0071240F" w:rsidRDefault="0071240F" w:rsidP="0071240F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240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21.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>Производство по пересмотру вступивших в законную силу судебных актов по вновь открывшимся обстоятельствам.</w:t>
            </w: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22.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Исполнение судебных актов арбитражного суда.</w:t>
            </w:r>
          </w:p>
        </w:tc>
      </w:tr>
    </w:tbl>
    <w:p w:rsidR="0071240F" w:rsidRDefault="0071240F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71240F">
        <w:rPr>
          <w:b/>
          <w:sz w:val="24"/>
          <w:szCs w:val="24"/>
        </w:rPr>
        <w:t>*.</w:t>
      </w:r>
    </w:p>
    <w:p w:rsidR="0071240F" w:rsidRDefault="0071240F" w:rsidP="00920D08">
      <w:pPr>
        <w:spacing w:line="240" w:lineRule="auto"/>
        <w:ind w:firstLine="0"/>
        <w:rPr>
          <w:b/>
          <w:sz w:val="24"/>
          <w:szCs w:val="24"/>
        </w:rPr>
      </w:pPr>
    </w:p>
    <w:p w:rsidR="0071240F" w:rsidRDefault="0071240F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71240F" w:rsidRPr="0071240F" w:rsidTr="0071240F">
        <w:trPr>
          <w:trHeight w:val="19"/>
        </w:trPr>
        <w:tc>
          <w:tcPr>
            <w:tcW w:w="675" w:type="dxa"/>
            <w:vMerge w:val="restart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b/>
                <w:kern w:val="0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after="240"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b/>
                <w:kern w:val="0"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71240F" w:rsidRPr="0071240F" w:rsidTr="0071240F">
        <w:trPr>
          <w:trHeight w:val="5"/>
        </w:trPr>
        <w:tc>
          <w:tcPr>
            <w:tcW w:w="675" w:type="dxa"/>
            <w:vMerge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b/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b/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71240F" w:rsidRPr="0071240F" w:rsidTr="0071240F">
        <w:trPr>
          <w:trHeight w:val="45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Понятие арбитражного процессуального права. Предмет и система.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46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Система арбитражных судов в РФ.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Принципы арбитражного процессуального права.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Понятие участников арбитражного процессуального права.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Представительство в арбитражном процессе.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Иск и право на иск в арбитражном процессе.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дискуссия, решение 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lastRenderedPageBreak/>
              <w:t>ситуационных задач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Судебные расходы. Судебные штрафы. Процессуальные сроки в арбитражном процессе.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дискуссия, решение ситуационных задач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Предъявление иска и возбуждение дела в арбитражном процессе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</w:pPr>
            <w:r w:rsidRPr="0071240F">
              <w:rPr>
                <w:bCs/>
                <w:color w:val="FF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1240F" w:rsidRPr="0071240F" w:rsidTr="0071240F">
        <w:trPr>
          <w:trHeight w:val="7"/>
        </w:trPr>
        <w:tc>
          <w:tcPr>
            <w:tcW w:w="675" w:type="dxa"/>
          </w:tcPr>
          <w:p w:rsidR="0071240F" w:rsidRPr="0071240F" w:rsidRDefault="0071240F" w:rsidP="0071240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Судебное разбирательство в арбитражном суде </w:t>
            </w:r>
            <w:r w:rsidRPr="0071240F">
              <w:rPr>
                <w:kern w:val="0"/>
                <w:sz w:val="24"/>
                <w:szCs w:val="24"/>
                <w:lang w:val="en-US" w:eastAsia="ru-RU"/>
              </w:rPr>
              <w:t>I</w:t>
            </w:r>
            <w:r w:rsidRPr="0071240F">
              <w:rPr>
                <w:kern w:val="0"/>
                <w:sz w:val="24"/>
                <w:szCs w:val="24"/>
                <w:lang w:eastAsia="ru-RU"/>
              </w:rPr>
              <w:t xml:space="preserve"> инстанции.</w:t>
            </w:r>
          </w:p>
        </w:tc>
        <w:tc>
          <w:tcPr>
            <w:tcW w:w="2268" w:type="dxa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1240F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1240F" w:rsidRPr="0071240F" w:rsidRDefault="0071240F" w:rsidP="007124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1240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1240F" w:rsidRPr="0071240F" w:rsidRDefault="0071240F" w:rsidP="0071240F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71240F" w:rsidRPr="0071240F" w:rsidRDefault="0071240F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71240F" w:rsidRDefault="00920D08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1240F">
        <w:rPr>
          <w:b/>
          <w:sz w:val="24"/>
          <w:szCs w:val="24"/>
        </w:rPr>
        <w:t>*</w:t>
      </w:r>
      <w:r w:rsidRPr="0071240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1240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1. Понятие арбитражного процессуального права, предмет и система. Принципы арбитражного процессуального права.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2. Система арбитражных судов в Российской Федерации.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3. Подведомственность и подсудность дел арбитражному суду.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4. Понятие участников арбитражного процессуального права. Представительство в арбитражном процессе.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5. Доказывание и доказательства в арбитражном процессе.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6. Иск и право на иск в арбитражном процессе.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7. Судебные расходы. Судебные штрафы.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8. Предъявление иска и возбуждение дела в арбитражном процессе.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9. Подготовка дел к судебному разбирательству.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10. Судебное разбирательство в арбитражном суде первой инстанции. Постановления арбитражного суда первой инстанции.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11. Производство по делам, возникающим</w:t>
      </w:r>
      <w:r w:rsidRPr="00471151">
        <w:rPr>
          <w:color w:val="000000"/>
          <w:kern w:val="0"/>
          <w:sz w:val="24"/>
          <w:szCs w:val="24"/>
          <w:lang w:eastAsia="ru-RU"/>
        </w:rPr>
        <w:br/>
        <w:t>из административных и иных публичных правоотношений.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12. Особенности судопроизводства в арбитражном суде по отдельным категориям дел.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13. Производство по делам с участием иностранных лиц.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14. Производство по делам об оспаривании решений третейских судов и о выдаче исполнительных листов на принудительное исполнение решений третейских судов.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15. Производство в арбитражном суде апелляционной инстанции.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16. Производство в арбитражном суде кассационной инстанции.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17. Производство в порядке надзора.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lastRenderedPageBreak/>
        <w:t>Тема 18. Производство по пересмотру вступивших</w:t>
      </w:r>
      <w:r w:rsidRPr="00471151">
        <w:rPr>
          <w:color w:val="000000"/>
          <w:kern w:val="0"/>
          <w:sz w:val="24"/>
          <w:szCs w:val="24"/>
          <w:lang w:eastAsia="ru-RU"/>
        </w:rPr>
        <w:br/>
        <w:t>в законную силу судебных актов по вновь открывшимся</w:t>
      </w:r>
      <w:r w:rsidRPr="00471151">
        <w:rPr>
          <w:color w:val="000000"/>
          <w:kern w:val="0"/>
          <w:sz w:val="24"/>
          <w:szCs w:val="24"/>
          <w:lang w:eastAsia="ru-RU"/>
        </w:rPr>
        <w:br/>
        <w:t>обстоятельствам.</w:t>
      </w:r>
    </w:p>
    <w:p w:rsidR="00471151" w:rsidRPr="00471151" w:rsidRDefault="00471151" w:rsidP="0047115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71151">
        <w:rPr>
          <w:color w:val="000000"/>
          <w:kern w:val="0"/>
          <w:sz w:val="24"/>
          <w:szCs w:val="24"/>
          <w:lang w:eastAsia="ru-RU"/>
        </w:rPr>
        <w:t>Тема 19. Исполнение судебных актов арбитражного суда.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71240F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71240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7124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4711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471151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7124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471151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471151">
        <w:rPr>
          <w:b/>
          <w:bCs/>
          <w:color w:val="000000"/>
          <w:sz w:val="24"/>
          <w:szCs w:val="24"/>
        </w:rPr>
        <w:t>ПЕРЕЧЕНЬ</w:t>
      </w:r>
      <w:r w:rsidRPr="003C0E55">
        <w:rPr>
          <w:b/>
          <w:bCs/>
          <w:color w:val="000000"/>
          <w:sz w:val="24"/>
          <w:szCs w:val="24"/>
        </w:rPr>
        <w:t xml:space="preserve"> УЧЕБНОЙ ЛИТЕРАТУРЫ: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2437"/>
        <w:gridCol w:w="1719"/>
        <w:gridCol w:w="1197"/>
        <w:gridCol w:w="709"/>
        <w:gridCol w:w="1323"/>
        <w:gridCol w:w="1890"/>
      </w:tblGrid>
      <w:tr w:rsidR="00471151" w:rsidRPr="00471151" w:rsidTr="00A11505">
        <w:trPr>
          <w:cantSplit/>
          <w:trHeight w:val="600"/>
          <w:jc w:val="center"/>
        </w:trPr>
        <w:tc>
          <w:tcPr>
            <w:tcW w:w="1026" w:type="dxa"/>
            <w:vMerge w:val="restart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№ п./п.</w:t>
            </w:r>
          </w:p>
        </w:tc>
        <w:tc>
          <w:tcPr>
            <w:tcW w:w="2437" w:type="dxa"/>
            <w:vMerge w:val="restart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19" w:type="dxa"/>
            <w:vMerge w:val="restart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197" w:type="dxa"/>
            <w:vMerge w:val="restart"/>
            <w:textDirection w:val="btLr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213" w:type="dxa"/>
            <w:gridSpan w:val="2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Наличие</w:t>
            </w:r>
          </w:p>
        </w:tc>
      </w:tr>
      <w:tr w:rsidR="00471151" w:rsidRPr="00471151" w:rsidTr="00A11505">
        <w:trPr>
          <w:cantSplit/>
          <w:trHeight w:val="519"/>
          <w:jc w:val="center"/>
        </w:trPr>
        <w:tc>
          <w:tcPr>
            <w:tcW w:w="1026" w:type="dxa"/>
            <w:vMerge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extDirection w:val="btLr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1890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1151">
              <w:rPr>
                <w:b/>
                <w:sz w:val="24"/>
                <w:szCs w:val="24"/>
              </w:rPr>
              <w:t>в ЭБС, адрес в сети Интернет</w:t>
            </w:r>
          </w:p>
        </w:tc>
      </w:tr>
      <w:tr w:rsidR="00471151" w:rsidRPr="00471151" w:rsidTr="00A11505">
        <w:trPr>
          <w:jc w:val="center"/>
        </w:trPr>
        <w:tc>
          <w:tcPr>
            <w:tcW w:w="1026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471151" w:rsidRPr="00471151" w:rsidRDefault="00B01EA5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tgtFrame="_blank" w:history="1">
              <w:r w:rsidR="00471151" w:rsidRPr="00471151">
                <w:rPr>
                  <w:rStyle w:val="a3"/>
                  <w:sz w:val="24"/>
                  <w:szCs w:val="24"/>
                </w:rPr>
                <w:t>Арбитражный процесс: учебное пособие</w:t>
              </w:r>
            </w:hyperlink>
          </w:p>
        </w:tc>
        <w:tc>
          <w:tcPr>
            <w:tcW w:w="171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71151">
              <w:rPr>
                <w:sz w:val="24"/>
                <w:szCs w:val="24"/>
              </w:rPr>
              <w:t>Эриашвили</w:t>
            </w:r>
            <w:proofErr w:type="spellEnd"/>
            <w:r w:rsidRPr="00471151">
              <w:rPr>
                <w:sz w:val="24"/>
                <w:szCs w:val="24"/>
              </w:rPr>
              <w:t xml:space="preserve"> Н.Д., Алексий П.В.</w:t>
            </w:r>
          </w:p>
        </w:tc>
        <w:tc>
          <w:tcPr>
            <w:tcW w:w="119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 xml:space="preserve">Издатель: </w:t>
            </w:r>
            <w:proofErr w:type="spellStart"/>
            <w:r w:rsidRPr="00471151">
              <w:rPr>
                <w:sz w:val="24"/>
                <w:szCs w:val="24"/>
              </w:rPr>
              <w:t>Юнити</w:t>
            </w:r>
            <w:proofErr w:type="spellEnd"/>
            <w:r w:rsidRPr="00471151">
              <w:rPr>
                <w:sz w:val="24"/>
                <w:szCs w:val="24"/>
              </w:rPr>
              <w:t>-Дана</w:t>
            </w:r>
          </w:p>
        </w:tc>
        <w:tc>
          <w:tcPr>
            <w:tcW w:w="70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2015</w:t>
            </w:r>
          </w:p>
        </w:tc>
        <w:tc>
          <w:tcPr>
            <w:tcW w:w="1323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http://biblioclub.ru</w:t>
            </w:r>
          </w:p>
        </w:tc>
      </w:tr>
      <w:tr w:rsidR="00471151" w:rsidRPr="00471151" w:rsidTr="00A11505">
        <w:trPr>
          <w:jc w:val="center"/>
        </w:trPr>
        <w:tc>
          <w:tcPr>
            <w:tcW w:w="1026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Арбитражный процесс: учебное пособие</w:t>
            </w:r>
          </w:p>
        </w:tc>
        <w:tc>
          <w:tcPr>
            <w:tcW w:w="171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Кузнецов А. П., Козлов Р. П.</w:t>
            </w:r>
          </w:p>
        </w:tc>
        <w:tc>
          <w:tcPr>
            <w:tcW w:w="119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 xml:space="preserve">Издатель: </w:t>
            </w:r>
            <w:proofErr w:type="spellStart"/>
            <w:r w:rsidRPr="00471151">
              <w:rPr>
                <w:sz w:val="24"/>
                <w:szCs w:val="24"/>
              </w:rPr>
              <w:t>Юнити</w:t>
            </w:r>
            <w:proofErr w:type="spellEnd"/>
            <w:r w:rsidRPr="00471151">
              <w:rPr>
                <w:sz w:val="24"/>
                <w:szCs w:val="24"/>
              </w:rPr>
              <w:t xml:space="preserve">-Дана </w:t>
            </w:r>
          </w:p>
        </w:tc>
        <w:tc>
          <w:tcPr>
            <w:tcW w:w="70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2015</w:t>
            </w:r>
          </w:p>
        </w:tc>
        <w:tc>
          <w:tcPr>
            <w:tcW w:w="1323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http://biblioclub.ru</w:t>
            </w:r>
          </w:p>
        </w:tc>
      </w:tr>
      <w:tr w:rsidR="00471151" w:rsidRPr="00471151" w:rsidTr="00A11505">
        <w:trPr>
          <w:jc w:val="center"/>
        </w:trPr>
        <w:tc>
          <w:tcPr>
            <w:tcW w:w="1026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Арбитражный процесс. Практикум: учебно-методическое пособие</w:t>
            </w:r>
          </w:p>
        </w:tc>
        <w:tc>
          <w:tcPr>
            <w:tcW w:w="171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Воронов А. Ф., Моисеев С. В., Шерстюк В. М.</w:t>
            </w:r>
          </w:p>
        </w:tc>
        <w:tc>
          <w:tcPr>
            <w:tcW w:w="119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Издатель: Статут</w:t>
            </w:r>
          </w:p>
        </w:tc>
        <w:tc>
          <w:tcPr>
            <w:tcW w:w="70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2014</w:t>
            </w:r>
          </w:p>
        </w:tc>
        <w:tc>
          <w:tcPr>
            <w:tcW w:w="1323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http://biblioclub.ru</w:t>
            </w:r>
          </w:p>
        </w:tc>
      </w:tr>
      <w:tr w:rsidR="00471151" w:rsidRPr="00471151" w:rsidTr="00A11505">
        <w:trPr>
          <w:jc w:val="center"/>
        </w:trPr>
        <w:tc>
          <w:tcPr>
            <w:tcW w:w="1026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Арбитражн</w:t>
            </w:r>
            <w:r w:rsidRPr="00471151">
              <w:rPr>
                <w:b/>
                <w:bCs/>
                <w:sz w:val="24"/>
                <w:szCs w:val="24"/>
              </w:rPr>
              <w:t>ый</w:t>
            </w:r>
            <w:r w:rsidRPr="00471151">
              <w:rPr>
                <w:sz w:val="24"/>
                <w:szCs w:val="24"/>
              </w:rPr>
              <w:t xml:space="preserve">: [Общая часть : Особенная часть : учебное пособие для вузов по специальности "Юриспруденция" / - 7-е изд., </w:t>
            </w:r>
            <w:proofErr w:type="spellStart"/>
            <w:r w:rsidRPr="00471151">
              <w:rPr>
                <w:sz w:val="24"/>
                <w:szCs w:val="24"/>
              </w:rPr>
              <w:t>перераб</w:t>
            </w:r>
            <w:proofErr w:type="spellEnd"/>
            <w:r w:rsidRPr="00471151">
              <w:rPr>
                <w:sz w:val="24"/>
                <w:szCs w:val="24"/>
              </w:rPr>
              <w:t xml:space="preserve">. и доп. - </w:t>
            </w:r>
          </w:p>
        </w:tc>
        <w:tc>
          <w:tcPr>
            <w:tcW w:w="171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71151">
              <w:rPr>
                <w:sz w:val="24"/>
                <w:szCs w:val="24"/>
              </w:rPr>
              <w:t>Эриашвили</w:t>
            </w:r>
            <w:proofErr w:type="spellEnd"/>
            <w:r w:rsidRPr="00471151">
              <w:rPr>
                <w:sz w:val="24"/>
                <w:szCs w:val="24"/>
              </w:rPr>
              <w:t xml:space="preserve"> Н.Д.</w:t>
            </w:r>
          </w:p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 xml:space="preserve">Туманова Л. В., </w:t>
            </w:r>
          </w:p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71151">
              <w:rPr>
                <w:sz w:val="24"/>
                <w:szCs w:val="24"/>
              </w:rPr>
              <w:t>Исаенкова</w:t>
            </w:r>
            <w:proofErr w:type="spellEnd"/>
            <w:r w:rsidRPr="00471151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1197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Москва : ЮНИТИ-ДАНА : Закон и право,</w:t>
            </w:r>
          </w:p>
        </w:tc>
        <w:tc>
          <w:tcPr>
            <w:tcW w:w="709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2015</w:t>
            </w:r>
          </w:p>
        </w:tc>
        <w:tc>
          <w:tcPr>
            <w:tcW w:w="1323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1151">
              <w:rPr>
                <w:sz w:val="24"/>
                <w:szCs w:val="24"/>
              </w:rPr>
              <w:t>+</w:t>
            </w:r>
          </w:p>
        </w:tc>
        <w:tc>
          <w:tcPr>
            <w:tcW w:w="1890" w:type="dxa"/>
          </w:tcPr>
          <w:p w:rsidR="00471151" w:rsidRPr="00471151" w:rsidRDefault="00471151" w:rsidP="00471151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72D6"/>
    <w:rsid w:val="0009646C"/>
    <w:rsid w:val="001043F8"/>
    <w:rsid w:val="001071B9"/>
    <w:rsid w:val="00180109"/>
    <w:rsid w:val="002668FA"/>
    <w:rsid w:val="00275F79"/>
    <w:rsid w:val="002825CF"/>
    <w:rsid w:val="00471151"/>
    <w:rsid w:val="00555F6C"/>
    <w:rsid w:val="0056393A"/>
    <w:rsid w:val="005B5E17"/>
    <w:rsid w:val="006E7CAD"/>
    <w:rsid w:val="0071240F"/>
    <w:rsid w:val="008E378A"/>
    <w:rsid w:val="00920D08"/>
    <w:rsid w:val="0095632D"/>
    <w:rsid w:val="00AD3CA3"/>
    <w:rsid w:val="00AE482D"/>
    <w:rsid w:val="00AF286E"/>
    <w:rsid w:val="00B01EA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6DE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index.php?page=book_red&amp;id=114724&amp;sr=1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9</cp:revision>
  <cp:lastPrinted>2020-11-13T10:48:00Z</cp:lastPrinted>
  <dcterms:created xsi:type="dcterms:W3CDTF">2021-08-13T07:22:00Z</dcterms:created>
  <dcterms:modified xsi:type="dcterms:W3CDTF">2023-05-13T09:22:00Z</dcterms:modified>
</cp:coreProperties>
</file>