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D647C" w:rsidRDefault="00DD647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D647C" w:rsidRDefault="000420A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A55600">
        <w:rPr>
          <w:b/>
          <w:sz w:val="24"/>
          <w:szCs w:val="24"/>
        </w:rPr>
        <w:t xml:space="preserve"> А.С. ПУШКИНА»</w:t>
      </w: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D647C" w:rsidRDefault="00A5560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DD647C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D647C" w:rsidRPr="000420AE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0420AE">
        <w:rPr>
          <w:b/>
          <w:color w:val="000000" w:themeColor="text1"/>
          <w:sz w:val="24"/>
          <w:szCs w:val="24"/>
        </w:rPr>
        <w:t>Б1.В.03 ПРОФЕССИОНАЛЬНАЯ ДЕЯТЕЛЬНОСТЬ УЧИТЕЛЯ ИНОСТРАННОГО ЯЗЫКА (</w:t>
      </w:r>
      <w:r w:rsidR="005D47C9" w:rsidRPr="000420AE">
        <w:rPr>
          <w:b/>
          <w:color w:val="000000" w:themeColor="text1"/>
          <w:sz w:val="24"/>
          <w:szCs w:val="24"/>
        </w:rPr>
        <w:t>модуль</w:t>
      </w:r>
      <w:r w:rsidRPr="000420AE">
        <w:rPr>
          <w:b/>
          <w:color w:val="000000" w:themeColor="text1"/>
          <w:sz w:val="24"/>
          <w:szCs w:val="24"/>
        </w:rPr>
        <w:t>):</w:t>
      </w:r>
    </w:p>
    <w:p w:rsidR="00DD647C" w:rsidRDefault="00A55600">
      <w:pPr>
        <w:pStyle w:val="5"/>
        <w:spacing w:after="0"/>
        <w:jc w:val="center"/>
        <w:rPr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bCs w:val="0"/>
          <w:i w:val="0"/>
          <w:color w:val="000000" w:themeColor="text1"/>
          <w:sz w:val="28"/>
          <w:szCs w:val="28"/>
        </w:rPr>
        <w:t xml:space="preserve">Б1.В.03.ДВ.01.02 </w:t>
      </w: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 xml:space="preserve">ФЕДЕРАЛЬНЫЙ ГОСУДАРСТВЕННЫЙ ОБРАЗОВАТЕЛЬНЫЙ СТАНДАРТ </w:t>
      </w:r>
    </w:p>
    <w:p w:rsidR="00DD647C" w:rsidRDefault="00A55600">
      <w:pPr>
        <w:pStyle w:val="5"/>
        <w:spacing w:before="0"/>
        <w:jc w:val="center"/>
        <w:rPr>
          <w:i w:val="0"/>
          <w:color w:val="000000" w:themeColor="text1"/>
          <w:sz w:val="28"/>
          <w:szCs w:val="28"/>
        </w:rPr>
      </w:pPr>
      <w:r>
        <w:rPr>
          <w:bCs w:val="0"/>
          <w:i w:val="0"/>
          <w:color w:val="000000" w:themeColor="text1"/>
          <w:sz w:val="28"/>
          <w:szCs w:val="28"/>
          <w:shd w:val="clear" w:color="auto" w:fill="FFFFFF"/>
        </w:rPr>
        <w:t>В ОБЩЕОБРАЗОВАТЕЛЬНОЙ ШКОЛЕ</w:t>
      </w:r>
    </w:p>
    <w:p w:rsidR="00DD647C" w:rsidRDefault="00DD647C">
      <w:pPr>
        <w:ind w:left="1152"/>
        <w:rPr>
          <w:bCs/>
          <w:sz w:val="28"/>
          <w:vertAlign w:val="subscript"/>
        </w:rPr>
      </w:pPr>
    </w:p>
    <w:p w:rsidR="00DD647C" w:rsidRDefault="00DD647C">
      <w:pPr>
        <w:jc w:val="center"/>
        <w:rPr>
          <w:bCs/>
        </w:rPr>
      </w:pPr>
    </w:p>
    <w:p w:rsidR="00DD647C" w:rsidRDefault="00A556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DD647C" w:rsidRDefault="00A556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2629B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A5560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C5865">
        <w:rPr>
          <w:bCs/>
          <w:sz w:val="24"/>
          <w:szCs w:val="24"/>
        </w:rPr>
        <w:t>202</w:t>
      </w:r>
      <w:bookmarkStart w:id="0" w:name="_GoBack"/>
      <w:bookmarkEnd w:id="0"/>
      <w:r w:rsidR="0079634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D647C" w:rsidRDefault="00DD64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47C" w:rsidRDefault="00A5560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20AE" w:rsidRDefault="000420A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DD647C" w:rsidRPr="000420AE" w:rsidRDefault="00A5560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420AE">
        <w:rPr>
          <w:sz w:val="24"/>
          <w:szCs w:val="24"/>
        </w:rPr>
        <w:t xml:space="preserve">Санкт-Петербург </w:t>
      </w:r>
    </w:p>
    <w:p w:rsidR="00DD647C" w:rsidRPr="000420AE" w:rsidRDefault="000420AE" w:rsidP="000420AE">
      <w:pPr>
        <w:pStyle w:val="af0"/>
        <w:jc w:val="center"/>
        <w:sectPr w:rsidR="00DD647C" w:rsidRPr="000420A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 w:rsidRPr="000420AE">
        <w:t>202</w:t>
      </w:r>
      <w:r w:rsidR="00796342">
        <w:t>2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D647C" w:rsidRDefault="00DD647C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DD647C" w:rsidRDefault="00A55600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D647C" w:rsidRDefault="00DD647C">
      <w:pPr>
        <w:spacing w:line="240" w:lineRule="auto"/>
        <w:rPr>
          <w:color w:val="000000"/>
          <w:sz w:val="16"/>
          <w:szCs w:val="16"/>
        </w:rPr>
      </w:pPr>
    </w:p>
    <w:tbl>
      <w:tblPr>
        <w:tblW w:w="9440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20"/>
      </w:tblGrid>
      <w:tr w:rsidR="00DD647C" w:rsidTr="006870DE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647C" w:rsidTr="006870D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D647C" w:rsidRDefault="000420AE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пособен осуществлять педагогическую поддержку и сопровождение учащихся в процессе достижения </w:t>
            </w:r>
            <w:proofErr w:type="spellStart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="00A55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620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ИПК 2.1 Знать: </w:t>
            </w:r>
            <w:r>
              <w:rPr>
                <w:sz w:val="24"/>
                <w:szCs w:val="24"/>
              </w:rPr>
              <w:t xml:space="preserve">требования </w:t>
            </w:r>
            <w:r>
              <w:rPr>
                <w:rStyle w:val="FontStyle54"/>
                <w:sz w:val="24"/>
                <w:szCs w:val="24"/>
              </w:rPr>
              <w:t xml:space="preserve">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общеобразовательной школе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2.2</w:t>
            </w:r>
            <w:r>
              <w:rPr>
                <w:bCs/>
                <w:color w:val="FF0000"/>
                <w:sz w:val="24"/>
                <w:szCs w:val="24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</w:rPr>
              <w:t>Уметь: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>
              <w:rPr>
                <w:rStyle w:val="FontStyle54"/>
                <w:sz w:val="24"/>
                <w:szCs w:val="24"/>
              </w:rPr>
              <w:t xml:space="preserve">соблюдая требования Федерального </w:t>
            </w:r>
            <w:r>
              <w:rPr>
                <w:sz w:val="24"/>
                <w:szCs w:val="24"/>
              </w:rPr>
              <w:t xml:space="preserve">государственного образовательного стандарта к </w:t>
            </w:r>
            <w:r>
              <w:rPr>
                <w:color w:val="000000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результатам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  <w:p w:rsidR="00DD647C" w:rsidRDefault="00A55600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Федерального </w:t>
            </w:r>
            <w:r>
              <w:rPr>
                <w:sz w:val="24"/>
                <w:szCs w:val="24"/>
              </w:rPr>
              <w:t>государственного образовательного стандарта в общеобразовательной школе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6870DE" w:rsidRDefault="006870DE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DD647C" w:rsidRDefault="00DD647C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D647C" w:rsidRDefault="00A55600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  <w:r>
        <w:rPr>
          <w:color w:val="auto"/>
          <w:sz w:val="24"/>
          <w:szCs w:val="24"/>
        </w:rPr>
        <w:t xml:space="preserve"> </w:t>
      </w:r>
    </w:p>
    <w:p w:rsidR="00DD647C" w:rsidRDefault="00A55600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сформировать у учащихся знания о требованиях </w:t>
      </w:r>
      <w:r>
        <w:rPr>
          <w:rStyle w:val="FontStyle54"/>
          <w:sz w:val="24"/>
          <w:szCs w:val="24"/>
        </w:rPr>
        <w:t xml:space="preserve">Федерального </w:t>
      </w:r>
      <w:r>
        <w:rPr>
          <w:sz w:val="24"/>
          <w:szCs w:val="24"/>
        </w:rPr>
        <w:t>государственного образовательного стандарта к образовательным результатам процесса обучения иностранному языку в общеобразовательной школе;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 w:rsidR="000420AE">
        <w:rPr>
          <w:sz w:val="24"/>
          <w:szCs w:val="24"/>
        </w:rPr>
        <w:t xml:space="preserve">особенностях </w:t>
      </w:r>
      <w:r>
        <w:rPr>
          <w:sz w:val="24"/>
          <w:szCs w:val="24"/>
        </w:rPr>
        <w:t xml:space="preserve">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DD647C" w:rsidRDefault="00A55600" w:rsidP="006870DE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lastRenderedPageBreak/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образовательного стандарта в общеобразовательной школе.</w:t>
      </w:r>
    </w:p>
    <w:p w:rsidR="00DD647C" w:rsidRDefault="00A55600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DD647C" w:rsidRDefault="00A5560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«Методический» Б1.О.05.01 «Методика обучения и воспитания (иностранный язык)» и модуля «Профессиональная деятельность учителя иностранного языка» Б1.В.03.ДВ.03.01 «Проектирование образовательных программ по иностранным языкам»,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DD647C" w:rsidRDefault="00A55600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0DE" w:rsidRDefault="006870DE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D647C" w:rsidRDefault="00DD647C">
      <w:pPr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 xml:space="preserve">ения дисциплины составляет 4 </w:t>
      </w:r>
      <w:r w:rsidR="005844F7">
        <w:rPr>
          <w:color w:val="000000" w:themeColor="text1"/>
          <w:sz w:val="24"/>
          <w:szCs w:val="24"/>
        </w:rPr>
        <w:t>зачетные единицы, 144 </w:t>
      </w:r>
      <w:r>
        <w:rPr>
          <w:color w:val="000000" w:themeColor="text1"/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5844F7" w:rsidRDefault="005844F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404" w:type="dxa"/>
        <w:tblInd w:w="101" w:type="dxa"/>
        <w:tblCellMar>
          <w:left w:w="122" w:type="dxa"/>
        </w:tblCellMar>
        <w:tblLook w:val="0000"/>
      </w:tblPr>
      <w:tblGrid>
        <w:gridCol w:w="6343"/>
        <w:gridCol w:w="1266"/>
        <w:gridCol w:w="1545"/>
        <w:gridCol w:w="250"/>
      </w:tblGrid>
      <w:tr w:rsidR="005844F7" w:rsidTr="00B33B4C">
        <w:trPr>
          <w:trHeight w:val="247"/>
        </w:trPr>
        <w:tc>
          <w:tcPr>
            <w:tcW w:w="634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5844F7" w:rsidTr="00B33B4C">
        <w:trPr>
          <w:trHeight w:val="247"/>
        </w:trPr>
        <w:tc>
          <w:tcPr>
            <w:tcW w:w="634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844F7" w:rsidRDefault="005844F7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844F7" w:rsidRDefault="005844F7"/>
        </w:tc>
      </w:tr>
      <w:tr w:rsidR="00DD647C" w:rsidTr="000420AE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-/28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A55600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5844F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DD647C" w:rsidTr="000420AE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844F7">
              <w:rPr>
                <w:color w:val="000000" w:themeColor="text1"/>
                <w:sz w:val="24"/>
                <w:szCs w:val="24"/>
              </w:rPr>
              <w:t>4,65</w:t>
            </w:r>
          </w:p>
        </w:tc>
      </w:tr>
      <w:tr w:rsidR="00DD647C" w:rsidTr="000420AE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DD647C" w:rsidRDefault="00A55600">
            <w:pPr>
              <w:pStyle w:val="ac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DD647C" w:rsidRDefault="00DD647C">
      <w:pPr>
        <w:spacing w:line="240" w:lineRule="auto"/>
        <w:ind w:left="0" w:firstLine="0"/>
        <w:rPr>
          <w:bCs/>
          <w:sz w:val="24"/>
          <w:szCs w:val="24"/>
        </w:rPr>
      </w:pPr>
    </w:p>
    <w:p w:rsidR="005844F7" w:rsidRPr="005844F7" w:rsidRDefault="005844F7">
      <w:pPr>
        <w:spacing w:line="240" w:lineRule="auto"/>
        <w:ind w:left="0" w:firstLine="0"/>
        <w:rPr>
          <w:bCs/>
          <w:sz w:val="24"/>
          <w:szCs w:val="24"/>
        </w:rPr>
      </w:pPr>
    </w:p>
    <w:p w:rsidR="00DD647C" w:rsidRDefault="00A556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DD647C" w:rsidRDefault="00DD647C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D647C" w:rsidRDefault="00A55600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844F7" w:rsidRDefault="00A55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DD647C" w:rsidRDefault="005844F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A55600">
        <w:rPr>
          <w:b/>
          <w:bCs/>
          <w:color w:val="000000"/>
          <w:sz w:val="24"/>
          <w:szCs w:val="24"/>
        </w:rPr>
        <w:t xml:space="preserve">4.1. </w:t>
      </w:r>
      <w:r w:rsidR="00A55600">
        <w:rPr>
          <w:b/>
          <w:bCs/>
          <w:sz w:val="24"/>
          <w:szCs w:val="24"/>
        </w:rPr>
        <w:t>Блоки (разделы) дисциплины.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2.Требования к современному уроку. Планируемые результаты обучения в </w:t>
      </w:r>
      <w:r>
        <w:rPr>
          <w:color w:val="000000" w:themeColor="text1"/>
          <w:sz w:val="24"/>
          <w:szCs w:val="24"/>
        </w:rPr>
        <w:lastRenderedPageBreak/>
        <w:t>условиях реализации ФГОС и способы педагогического сопровождения учащихся по их достижению.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3.</w:t>
      </w:r>
      <w:r>
        <w:rPr>
          <w:bCs/>
          <w:color w:val="000000"/>
          <w:sz w:val="24"/>
          <w:szCs w:val="24"/>
        </w:rPr>
        <w:t>ФГОС. Предметные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4.ФГОС</w:t>
      </w:r>
      <w:r>
        <w:rPr>
          <w:sz w:val="24"/>
          <w:szCs w:val="24"/>
        </w:rPr>
        <w:t xml:space="preserve">. Познавательные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 xml:space="preserve">Блок № 5.ФГОС. Регулятивные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color w:val="000000" w:themeColor="text1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6.</w:t>
      </w:r>
      <w:r>
        <w:rPr>
          <w:rFonts w:eastAsia="ArialMT"/>
          <w:color w:val="000000"/>
          <w:sz w:val="24"/>
          <w:szCs w:val="24"/>
        </w:rPr>
        <w:t xml:space="preserve">ФГОС. Коммуникативные </w:t>
      </w:r>
      <w:r>
        <w:rPr>
          <w:bCs/>
          <w:color w:val="000000"/>
          <w:sz w:val="24"/>
          <w:szCs w:val="24"/>
        </w:rPr>
        <w:t>результаты</w:t>
      </w:r>
      <w:r>
        <w:rPr>
          <w:rFonts w:eastAsia="ArialMT"/>
          <w:color w:val="000000"/>
          <w:sz w:val="24"/>
          <w:szCs w:val="24"/>
        </w:rPr>
        <w:t>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7.</w:t>
      </w:r>
      <w:r>
        <w:rPr>
          <w:bCs/>
          <w:color w:val="000000"/>
          <w:sz w:val="24"/>
          <w:szCs w:val="24"/>
        </w:rPr>
        <w:t>ФГОС. Личностные результаты.</w:t>
      </w:r>
    </w:p>
    <w:p w:rsidR="00DD647C" w:rsidRDefault="00A55600">
      <w:pPr>
        <w:ind w:firstLine="669"/>
      </w:pPr>
      <w:r>
        <w:rPr>
          <w:color w:val="000000" w:themeColor="text1"/>
          <w:sz w:val="24"/>
          <w:szCs w:val="24"/>
        </w:rPr>
        <w:t>Блок № 8.</w:t>
      </w:r>
      <w:r>
        <w:rPr>
          <w:bCs/>
          <w:color w:val="000000"/>
          <w:sz w:val="24"/>
          <w:szCs w:val="24"/>
        </w:rPr>
        <w:t>Оценивание результатов обучения.</w:t>
      </w:r>
      <w:r>
        <w:rPr>
          <w:color w:val="FF0000"/>
          <w:sz w:val="24"/>
          <w:szCs w:val="24"/>
        </w:rPr>
        <w:t xml:space="preserve"> </w:t>
      </w:r>
    </w:p>
    <w:p w:rsidR="00DD647C" w:rsidRDefault="00DD647C">
      <w:pPr>
        <w:ind w:firstLine="669"/>
        <w:rPr>
          <w:b/>
          <w:color w:val="FF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DD647C" w:rsidRDefault="00A55600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DD647C" w:rsidRDefault="00DD647C">
      <w:pPr>
        <w:spacing w:line="240" w:lineRule="auto"/>
        <w:rPr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180" w:type="dxa"/>
        <w:tblInd w:w="161" w:type="dxa"/>
        <w:tblCellMar>
          <w:left w:w="122" w:type="dxa"/>
        </w:tblCellMar>
        <w:tblLook w:val="0000"/>
      </w:tblPr>
      <w:tblGrid>
        <w:gridCol w:w="615"/>
        <w:gridCol w:w="2609"/>
        <w:gridCol w:w="1845"/>
        <w:gridCol w:w="2266"/>
        <w:gridCol w:w="1845"/>
      </w:tblGrid>
      <w:tr w:rsidR="00DD647C" w:rsidTr="005844F7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 w:rsidP="005844F7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DD647C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647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1. 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2. Требования к современному уроку. Планируемые результаты обучения в условиях реализации ФГОС и способы педагогического сопровождения учащихся по их достижению.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DD647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3.</w:t>
            </w:r>
            <w:r>
              <w:rPr>
                <w:bCs/>
                <w:color w:val="000000"/>
                <w:sz w:val="24"/>
                <w:szCs w:val="24"/>
              </w:rPr>
              <w:t>ФГОС. Предметные результаты.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4.ФГОС</w:t>
            </w:r>
            <w:r>
              <w:rPr>
                <w:sz w:val="24"/>
                <w:szCs w:val="24"/>
              </w:rPr>
              <w:t xml:space="preserve">. Познавательные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 w:rsidTr="005844F7">
        <w:trPr>
          <w:trHeight w:val="12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5.ФГОС. Регулятивные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результаты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Подготовить презентацию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 теме</w:t>
            </w:r>
          </w:p>
        </w:tc>
      </w:tr>
      <w:tr w:rsidR="00DD647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Pr="005844F7" w:rsidRDefault="00A55600" w:rsidP="005844F7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>Блок № 6.</w:t>
            </w:r>
            <w:r>
              <w:rPr>
                <w:rFonts w:eastAsia="ArialMT"/>
                <w:color w:val="000000"/>
                <w:sz w:val="24"/>
                <w:szCs w:val="24"/>
              </w:rPr>
              <w:t xml:space="preserve">ФГОС. Коммуникативные </w:t>
            </w:r>
            <w:r>
              <w:rPr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eastAsia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 w:rsidP="005844F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</w:t>
            </w:r>
            <w:r>
              <w:rPr>
                <w:bCs/>
                <w:color w:val="000000"/>
                <w:sz w:val="24"/>
                <w:szCs w:val="24"/>
              </w:rPr>
              <w:t>ФГОС. Личностные результаты.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презентацию по теме</w:t>
            </w:r>
          </w:p>
        </w:tc>
      </w:tr>
      <w:tr w:rsidR="00DD647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Блок № 8. </w:t>
            </w:r>
            <w:r>
              <w:rPr>
                <w:bCs/>
                <w:color w:val="000000"/>
                <w:sz w:val="24"/>
                <w:szCs w:val="24"/>
              </w:rPr>
              <w:t>Оценивание результатов обучения.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A55600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D647C" w:rsidRDefault="00DD647C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647C" w:rsidRDefault="00DD64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5844F7" w:rsidRDefault="005844F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D647C" w:rsidRDefault="00DD647C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D647C" w:rsidRDefault="00A55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DD647C" w:rsidRDefault="00A55600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DD647C" w:rsidRDefault="00DD647C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D647C" w:rsidRDefault="00A55600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предметных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познавательных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регулятивных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коммуникативных УУД НОО, ООО, СОО.</w:t>
      </w:r>
    </w:p>
    <w:p w:rsidR="00DD647C" w:rsidRDefault="00A55600">
      <w:pPr>
        <w:pStyle w:val="af1"/>
        <w:numPr>
          <w:ilvl w:val="0"/>
          <w:numId w:val="7"/>
        </w:numPr>
        <w:tabs>
          <w:tab w:val="left" w:pos="993"/>
        </w:tabs>
        <w:ind w:left="0" w:firstLine="669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Сравнительная характеристика личностных УУД НОО, ООО, СОО.</w:t>
      </w:r>
    </w:p>
    <w:p w:rsidR="005844F7" w:rsidRDefault="005844F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DD647C" w:rsidRDefault="00DD647C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DD647C" w:rsidRDefault="00A55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DD647C" w:rsidTr="005844F7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D647C" w:rsidRDefault="00A55600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сравнительной таблицы Проектирование урока</w:t>
            </w:r>
          </w:p>
        </w:tc>
      </w:tr>
      <w:tr w:rsidR="00DD647C" w:rsidTr="005844F7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DD647C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647C" w:rsidRDefault="00A5560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</w:t>
            </w:r>
          </w:p>
        </w:tc>
      </w:tr>
    </w:tbl>
    <w:p w:rsidR="00DD647C" w:rsidRDefault="00DD647C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DD647C" w:rsidRDefault="00DD647C">
      <w:pPr>
        <w:spacing w:line="240" w:lineRule="auto"/>
        <w:rPr>
          <w:color w:val="000000"/>
          <w:sz w:val="22"/>
          <w:szCs w:val="22"/>
        </w:rPr>
      </w:pPr>
    </w:p>
    <w:p w:rsidR="00DD647C" w:rsidRDefault="00A5560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D647C" w:rsidRDefault="00DD647C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68"/>
        <w:gridCol w:w="1653"/>
        <w:gridCol w:w="1749"/>
        <w:gridCol w:w="1559"/>
        <w:gridCol w:w="850"/>
        <w:gridCol w:w="1134"/>
        <w:gridCol w:w="2127"/>
      </w:tblGrid>
      <w:tr w:rsidR="00DD647C" w:rsidTr="005844F7">
        <w:trPr>
          <w:cantSplit/>
          <w:trHeight w:val="3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A55600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A55600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DD647C" w:rsidTr="005844F7">
        <w:trPr>
          <w:cantSplit/>
          <w:trHeight w:val="5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D647C" w:rsidRDefault="00DD647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стандарт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  <w:shd w:val="clear" w:color="auto" w:fill="FFFFFF"/>
              </w:rPr>
              <w:t>«6» октября 2009 г. № 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основного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 декабря  2010 г. № 1897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среднего общего образования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мая 2012 г. № 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начального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8 апреля 2015. Протокол от №1/15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основного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08.04.2015, протокол №1/15 (в редакции протокола № 1/20 от 04.02.2020)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среднего общего образования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12 мая 2016 года. Протокол №2/16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DD647C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DD647C" w:rsidTr="005844F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pStyle w:val="af1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47C" w:rsidRDefault="00DD64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47C" w:rsidRDefault="00A55600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844F7" w:rsidRDefault="005844F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DD647C" w:rsidRDefault="00DD647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>
          <w:rPr>
            <w:rStyle w:val="-"/>
            <w:color w:val="000000" w:themeColor="text1"/>
            <w:sz w:val="24"/>
            <w:szCs w:val="24"/>
          </w:rPr>
          <w:t>http://нэб.рф/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КиберЛенинка</w:t>
      </w:r>
      <w:proofErr w:type="spellEnd"/>
      <w:r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000000" w:themeColor="text1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7">
        <w:r>
          <w:rPr>
            <w:rStyle w:val="-"/>
            <w:color w:val="000000" w:themeColor="text1"/>
            <w:sz w:val="24"/>
            <w:szCs w:val="24"/>
          </w:rPr>
          <w:t>http://www.biblioclub.ru/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>
        <w:rPr>
          <w:bCs/>
          <w:color w:val="000000" w:themeColor="text1"/>
          <w:sz w:val="24"/>
          <w:szCs w:val="24"/>
        </w:rPr>
        <w:t xml:space="preserve"> «</w:t>
      </w:r>
      <w:proofErr w:type="spellStart"/>
      <w:r>
        <w:rPr>
          <w:bCs/>
          <w:color w:val="000000" w:themeColor="text1"/>
          <w:sz w:val="24"/>
          <w:szCs w:val="24"/>
        </w:rPr>
        <w:t>Кругосвет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bCs/>
            <w:sz w:val="24"/>
            <w:szCs w:val="24"/>
          </w:rPr>
          <w:t>http://www.krugosvet.ru/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>
        <w:rPr>
          <w:bCs/>
          <w:color w:val="000000" w:themeColor="text1"/>
          <w:sz w:val="24"/>
          <w:szCs w:val="24"/>
        </w:rPr>
        <w:t>About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Education</w:t>
      </w:r>
      <w:proofErr w:type="spellEnd"/>
      <w:r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9">
        <w:r>
          <w:rPr>
            <w:rStyle w:val="-"/>
            <w:bCs/>
            <w:sz w:val="24"/>
            <w:szCs w:val="24"/>
          </w:rPr>
          <w:t>http://www.about.com/education/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>
        <w:rPr>
          <w:bCs/>
          <w:color w:val="000000" w:themeColor="text1"/>
          <w:sz w:val="24"/>
          <w:szCs w:val="24"/>
        </w:rPr>
        <w:t>Британника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000000" w:themeColor="text1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2">
        <w:r>
          <w:rPr>
            <w:rStyle w:val="-"/>
            <w:color w:val="000000" w:themeColor="text1"/>
            <w:sz w:val="24"/>
            <w:szCs w:val="24"/>
          </w:rPr>
          <w:t>http://window.edu.ru</w:t>
        </w:r>
      </w:hyperlink>
      <w:r>
        <w:rPr>
          <w:sz w:val="24"/>
          <w:szCs w:val="24"/>
        </w:rPr>
        <w:t>.</w:t>
      </w:r>
    </w:p>
    <w:p w:rsidR="00DD647C" w:rsidRDefault="00A55600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>
        <w:rPr>
          <w:bCs/>
          <w:color w:val="000000" w:themeColor="text1"/>
          <w:sz w:val="24"/>
          <w:szCs w:val="24"/>
        </w:rPr>
        <w:t xml:space="preserve">. – Режим доступа: </w:t>
      </w:r>
      <w:r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>.</w:t>
      </w:r>
    </w:p>
    <w:p w:rsidR="00DD647C" w:rsidRDefault="00DD647C">
      <w:pPr>
        <w:widowControl/>
        <w:spacing w:line="240" w:lineRule="auto"/>
        <w:ind w:firstLine="244"/>
        <w:rPr>
          <w:sz w:val="24"/>
          <w:szCs w:val="24"/>
        </w:rPr>
      </w:pPr>
    </w:p>
    <w:p w:rsidR="005844F7" w:rsidRDefault="005844F7">
      <w:pPr>
        <w:widowControl/>
        <w:spacing w:line="240" w:lineRule="auto"/>
        <w:ind w:firstLine="244"/>
        <w:rPr>
          <w:sz w:val="24"/>
          <w:szCs w:val="24"/>
        </w:rPr>
      </w:pPr>
    </w:p>
    <w:p w:rsidR="00DD647C" w:rsidRDefault="00A5560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D647C" w:rsidRDefault="00DD647C">
      <w:pPr>
        <w:widowControl/>
        <w:spacing w:line="240" w:lineRule="auto"/>
        <w:ind w:firstLine="0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DD647C" w:rsidRDefault="00A55600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D647C" w:rsidRDefault="00DD647C">
      <w:pPr>
        <w:widowControl/>
        <w:spacing w:line="240" w:lineRule="auto"/>
        <w:ind w:firstLine="567"/>
        <w:rPr>
          <w:sz w:val="24"/>
          <w:szCs w:val="24"/>
        </w:rPr>
      </w:pP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D647C" w:rsidRDefault="00A55600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DD647C" w:rsidRDefault="00A55600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DD647C" w:rsidRDefault="00A55600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D647C" w:rsidRDefault="00A5560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D647C" w:rsidRDefault="00A55600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DD647C" w:rsidRDefault="00DD647C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5844F7" w:rsidRDefault="005844F7">
      <w:pPr>
        <w:spacing w:line="240" w:lineRule="auto"/>
        <w:rPr>
          <w:b/>
          <w:bCs/>
          <w:sz w:val="24"/>
          <w:szCs w:val="24"/>
        </w:rPr>
      </w:pPr>
    </w:p>
    <w:p w:rsidR="00DD647C" w:rsidRDefault="00A5560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D647C" w:rsidRDefault="00DD647C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D647C" w:rsidRDefault="00A5560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D647C" w:rsidRDefault="00A55600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D647C" w:rsidSect="00D42491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A70"/>
    <w:multiLevelType w:val="multilevel"/>
    <w:tmpl w:val="521ED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A7E60"/>
    <w:multiLevelType w:val="multilevel"/>
    <w:tmpl w:val="F9327F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C151226"/>
    <w:multiLevelType w:val="multilevel"/>
    <w:tmpl w:val="0238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7D62D2"/>
    <w:multiLevelType w:val="multilevel"/>
    <w:tmpl w:val="B8062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0620CB"/>
    <w:multiLevelType w:val="multilevel"/>
    <w:tmpl w:val="1C4865F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266C6B"/>
    <w:multiLevelType w:val="multilevel"/>
    <w:tmpl w:val="46C2F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F60649"/>
    <w:multiLevelType w:val="multilevel"/>
    <w:tmpl w:val="87CAC76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505D58A6"/>
    <w:multiLevelType w:val="multilevel"/>
    <w:tmpl w:val="588EC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DD647C"/>
    <w:rsid w:val="000420AE"/>
    <w:rsid w:val="0032629B"/>
    <w:rsid w:val="003736E0"/>
    <w:rsid w:val="005844F7"/>
    <w:rsid w:val="005D47C9"/>
    <w:rsid w:val="006870DE"/>
    <w:rsid w:val="00796342"/>
    <w:rsid w:val="00A55600"/>
    <w:rsid w:val="00C37A60"/>
    <w:rsid w:val="00CC5865"/>
    <w:rsid w:val="00D42491"/>
    <w:rsid w:val="00D92918"/>
    <w:rsid w:val="00DD647C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styleId="a7">
    <w:name w:val="Title"/>
    <w:basedOn w:val="a"/>
    <w:next w:val="a8"/>
    <w:qFormat/>
    <w:rsid w:val="00D424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D42491"/>
  </w:style>
  <w:style w:type="paragraph" w:styleId="aa">
    <w:name w:val="caption"/>
    <w:basedOn w:val="a"/>
    <w:qFormat/>
    <w:rsid w:val="00D424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42491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1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2">
    <w:name w:val="Заголовок таблицы"/>
    <w:basedOn w:val="af"/>
    <w:qFormat/>
    <w:rsid w:val="00D42491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.com/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23</cp:revision>
  <dcterms:created xsi:type="dcterms:W3CDTF">2021-01-21T19:20:00Z</dcterms:created>
  <dcterms:modified xsi:type="dcterms:W3CDTF">2023-05-06T19:00:00Z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